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2C3C5" w14:textId="77777777" w:rsidR="00571CD6" w:rsidRPr="00872946" w:rsidRDefault="00346A9C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  <w:bookmarkStart w:id="0" w:name="_Hlk53405618"/>
      <w:r w:rsidRPr="00872946">
        <w:rPr>
          <w:rFonts w:eastAsia="PMingLiU"/>
          <w:sz w:val="22"/>
          <w:szCs w:val="22"/>
          <w:lang w:eastAsia="zh-TW"/>
        </w:rPr>
        <w:t>Załącznik</w:t>
      </w:r>
      <w:r w:rsidR="00372E3E" w:rsidRPr="00872946">
        <w:rPr>
          <w:rFonts w:eastAsia="PMingLiU"/>
          <w:sz w:val="22"/>
          <w:szCs w:val="22"/>
          <w:lang w:eastAsia="zh-TW"/>
        </w:rPr>
        <w:t xml:space="preserve"> </w:t>
      </w:r>
      <w:r w:rsidRPr="00872946">
        <w:rPr>
          <w:rFonts w:eastAsia="PMingLiU"/>
          <w:sz w:val="22"/>
          <w:szCs w:val="22"/>
          <w:lang w:eastAsia="zh-TW"/>
        </w:rPr>
        <w:t>B.6.</w:t>
      </w:r>
    </w:p>
    <w:p w14:paraId="7D9D4D54" w14:textId="77777777" w:rsidR="00F92886" w:rsidRPr="00872946" w:rsidRDefault="00F92886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</w:p>
    <w:p w14:paraId="16AC9DE2" w14:textId="77777777" w:rsidR="00AC597A" w:rsidRPr="00872946" w:rsidRDefault="00EE4BBD" w:rsidP="004E1805">
      <w:pPr>
        <w:spacing w:after="240" w:line="240" w:lineRule="auto"/>
        <w:ind w:left="0" w:firstLine="0"/>
        <w:jc w:val="left"/>
        <w:rPr>
          <w:rFonts w:eastAsia="PMingLiU"/>
          <w:b/>
          <w:sz w:val="28"/>
          <w:szCs w:val="28"/>
          <w:lang w:eastAsia="zh-TW"/>
        </w:rPr>
      </w:pPr>
      <w:bookmarkStart w:id="1" w:name="_Hlk140836593"/>
      <w:r w:rsidRPr="00872946">
        <w:rPr>
          <w:rFonts w:eastAsia="PMingLiU"/>
          <w:b/>
          <w:sz w:val="28"/>
          <w:szCs w:val="28"/>
          <w:lang w:eastAsia="zh-TW"/>
        </w:rPr>
        <w:t>LECZENIE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B554F1" w:rsidRPr="00872946">
        <w:rPr>
          <w:rFonts w:eastAsia="PMingLiU"/>
          <w:b/>
          <w:sz w:val="28"/>
          <w:szCs w:val="28"/>
          <w:lang w:eastAsia="zh-TW"/>
        </w:rPr>
        <w:t xml:space="preserve">CHORYCH NA </w:t>
      </w:r>
      <w:r w:rsidR="00955CE8" w:rsidRPr="00872946">
        <w:rPr>
          <w:rFonts w:eastAsia="PMingLiU"/>
          <w:b/>
          <w:sz w:val="28"/>
          <w:szCs w:val="28"/>
          <w:lang w:eastAsia="zh-TW"/>
        </w:rPr>
        <w:t>RAKA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872946">
        <w:rPr>
          <w:rFonts w:eastAsia="PMingLiU"/>
          <w:b/>
          <w:sz w:val="28"/>
          <w:szCs w:val="28"/>
          <w:lang w:eastAsia="zh-TW"/>
        </w:rPr>
        <w:t>PŁUCA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872946">
        <w:rPr>
          <w:rFonts w:eastAsia="PMingLiU"/>
          <w:b/>
          <w:sz w:val="28"/>
          <w:szCs w:val="28"/>
          <w:lang w:eastAsia="zh-TW"/>
        </w:rPr>
        <w:t>(ICD-10</w:t>
      </w:r>
      <w:r w:rsidR="00CF21AB" w:rsidRPr="00872946">
        <w:rPr>
          <w:rFonts w:eastAsia="PMingLiU"/>
          <w:b/>
          <w:sz w:val="28"/>
          <w:szCs w:val="28"/>
          <w:lang w:eastAsia="zh-TW"/>
        </w:rPr>
        <w:t>: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F92886" w:rsidRPr="00872946">
        <w:rPr>
          <w:rFonts w:eastAsia="PMingLiU"/>
          <w:b/>
          <w:sz w:val="28"/>
          <w:szCs w:val="28"/>
          <w:lang w:eastAsia="zh-TW"/>
        </w:rPr>
        <w:t>C</w:t>
      </w:r>
      <w:r w:rsidRPr="00872946">
        <w:rPr>
          <w:rFonts w:eastAsia="PMingLiU"/>
          <w:b/>
          <w:sz w:val="28"/>
          <w:szCs w:val="28"/>
          <w:lang w:eastAsia="zh-TW"/>
        </w:rPr>
        <w:t>34)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ORAZ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MIĘDZYBŁONIAKA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OPŁUCNEJ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(ICD-10</w:t>
      </w:r>
      <w:r w:rsidR="00034ADE" w:rsidRPr="00872946">
        <w:rPr>
          <w:rFonts w:eastAsia="PMingLiU"/>
          <w:b/>
          <w:sz w:val="28"/>
          <w:szCs w:val="28"/>
          <w:lang w:eastAsia="zh-TW"/>
        </w:rPr>
        <w:t>: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C45)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5"/>
        <w:gridCol w:w="4436"/>
        <w:gridCol w:w="4437"/>
      </w:tblGrid>
      <w:tr w:rsidR="0071052E" w:rsidRPr="00872946" w14:paraId="45B069AE" w14:textId="77777777" w:rsidTr="004E1805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bookmarkEnd w:id="1"/>
          <w:p w14:paraId="77319F12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872946" w14:paraId="46F50ED0" w14:textId="77777777" w:rsidTr="004E1805">
        <w:trPr>
          <w:trHeight w:val="567"/>
        </w:trPr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300AB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436" w:type="dxa"/>
            <w:shd w:val="clear" w:color="auto" w:fill="auto"/>
            <w:vAlign w:val="center"/>
          </w:tcPr>
          <w:p w14:paraId="08CD6C67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188" w:rsidRPr="00872946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4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45B72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2" w:name="_Hlk121816857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bookmarkEnd w:id="2"/>
          </w:p>
        </w:tc>
      </w:tr>
      <w:tr w:rsidR="001D7CB9" w:rsidRPr="007B2C88" w14:paraId="5DACEC0E" w14:textId="77777777" w:rsidTr="004E1805">
        <w:trPr>
          <w:trHeight w:val="20"/>
        </w:trPr>
        <w:tc>
          <w:tcPr>
            <w:tcW w:w="6515" w:type="dxa"/>
            <w:tcBorders>
              <w:bottom w:val="single" w:sz="4" w:space="0" w:color="auto"/>
            </w:tcBorders>
          </w:tcPr>
          <w:p w14:paraId="424618B4" w14:textId="77777777" w:rsidR="00034ADE" w:rsidRPr="00872946" w:rsidRDefault="001D7CB9" w:rsidP="00C6250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kwalifi</w:t>
            </w:r>
            <w:r w:rsidR="00034ADE" w:rsidRPr="00872946">
              <w:rPr>
                <w:b/>
                <w:bCs/>
                <w:color w:val="000000" w:themeColor="text1"/>
                <w:sz w:val="20"/>
                <w:szCs w:val="20"/>
              </w:rPr>
              <w:t>kacji</w:t>
            </w:r>
          </w:p>
          <w:p w14:paraId="162E94C0" w14:textId="77777777" w:rsidR="00E24212" w:rsidRPr="00872946" w:rsidRDefault="00034ADE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5C357B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mutacją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aktywującą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</w:t>
            </w:r>
            <w:r w:rsidR="00F205BF" w:rsidRPr="00872946">
              <w:rPr>
                <w:b/>
                <w:bCs/>
                <w:i/>
                <w:iCs/>
                <w:sz w:val="20"/>
                <w:szCs w:val="20"/>
              </w:rPr>
              <w:t>GFR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872946">
              <w:rPr>
                <w:b/>
                <w:bCs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872946">
              <w:rPr>
                <w:b/>
                <w:bCs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872946">
              <w:rPr>
                <w:b/>
                <w:bCs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872946">
              <w:rPr>
                <w:b/>
                <w:bCs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872946">
              <w:rPr>
                <w:b/>
                <w:bCs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872946">
              <w:rPr>
                <w:b/>
                <w:bCs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F6B9C" w:rsidRPr="00872946">
              <w:rPr>
                <w:b/>
                <w:bCs/>
                <w:sz w:val="20"/>
                <w:szCs w:val="20"/>
              </w:rPr>
              <w:t>afatynibu</w:t>
            </w:r>
            <w:proofErr w:type="spellEnd"/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6F5381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</w:p>
          <w:p w14:paraId="140D37AF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5A1DF550" w14:textId="77777777" w:rsidR="00C35188" w:rsidRPr="00872946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4A58D581" w14:textId="77777777" w:rsidR="006C67CC" w:rsidRPr="00872946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4D038EBA" w14:textId="77777777" w:rsidR="00C35188" w:rsidRPr="00872946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e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NOS);</w:t>
            </w:r>
          </w:p>
          <w:p w14:paraId="1C875FBF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aktywującej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(receptor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naskórkowego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czynnika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wzrostu)</w:t>
            </w:r>
            <w:r w:rsidR="00BB13B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potwierdzon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E94F0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070E4A0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84433C" w:rsidRPr="00872946">
              <w:rPr>
                <w:color w:val="000000" w:themeColor="text1"/>
                <w:sz w:val="20"/>
                <w:szCs w:val="20"/>
              </w:rPr>
              <w:t>radiochemioterapi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a</w:t>
            </w:r>
            <w:proofErr w:type="spellEnd"/>
            <w:r w:rsidR="0084433C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radioterapi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chirurgia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);</w:t>
            </w:r>
          </w:p>
          <w:p w14:paraId="55FF977B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28F2" w:rsidRPr="00872946">
              <w:rPr>
                <w:color w:val="000000" w:themeColor="text1"/>
                <w:sz w:val="20"/>
                <w:szCs w:val="20"/>
              </w:rPr>
              <w:t>u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0828F2" w:rsidRPr="00872946">
              <w:rPr>
                <w:color w:val="000000" w:themeColor="text1"/>
                <w:sz w:val="20"/>
                <w:szCs w:val="20"/>
              </w:rPr>
              <w:t>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0828F2" w:rsidRPr="00872946">
              <w:rPr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CD5AAB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CD5AAB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9631CDB" w14:textId="77777777" w:rsidR="00D6054B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7A56C8DC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E648ED0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0-2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872946">
              <w:rPr>
                <w:color w:val="000000" w:themeColor="text1"/>
                <w:sz w:val="20"/>
                <w:szCs w:val="20"/>
              </w:rPr>
              <w:t>-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22C7BB2C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C35188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63645954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umożliwiając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Charakterystyką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Produktu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Leczniczego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(dalej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872946">
              <w:rPr>
                <w:color w:val="000000" w:themeColor="text1"/>
                <w:sz w:val="20"/>
                <w:szCs w:val="20"/>
              </w:rPr>
              <w:t>)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BC3DD42" w14:textId="77777777" w:rsidR="00CE153E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40BFC7A" w14:textId="77777777" w:rsidR="00812E06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10B0D" w:rsidRPr="00872946">
              <w:rPr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3C57" w:rsidRPr="00872946">
              <w:rPr>
                <w:color w:val="000000" w:themeColor="text1"/>
                <w:sz w:val="20"/>
                <w:szCs w:val="20"/>
              </w:rPr>
              <w:t>a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282F"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AE1A372" w14:textId="77777777" w:rsidR="00C02C2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sz w:val="20"/>
                <w:szCs w:val="20"/>
              </w:rPr>
              <w:t>niekontrolowanych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2E6EF0" w:rsidRPr="00872946">
              <w:rPr>
                <w:sz w:val="20"/>
                <w:szCs w:val="20"/>
              </w:rPr>
              <w:t>leczeniem</w:t>
            </w:r>
            <w:r w:rsidRPr="00872946">
              <w:rPr>
                <w:sz w:val="20"/>
                <w:szCs w:val="20"/>
              </w:rPr>
              <w:t>.</w:t>
            </w:r>
          </w:p>
          <w:p w14:paraId="5D481F0F" w14:textId="77777777" w:rsidR="00C9090B" w:rsidRPr="00872946" w:rsidRDefault="0084433C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kwalifik</w:t>
            </w:r>
            <w:r w:rsidR="00FC27B2" w:rsidRPr="0087294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32DC69B4" w14:textId="77777777" w:rsidR="00932263" w:rsidRPr="00872946" w:rsidRDefault="0093226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CCFDD68" w14:textId="77777777" w:rsidR="00C02C28" w:rsidRPr="00872946" w:rsidRDefault="00034ADE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drugiej,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kolejnych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748B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niepowodzeni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wcześniejszego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3DD5" w:rsidRPr="00872946">
              <w:rPr>
                <w:b/>
                <w:bCs/>
                <w:color w:val="000000" w:themeColor="text1"/>
                <w:sz w:val="20"/>
                <w:szCs w:val="20"/>
              </w:rPr>
              <w:t>dakomitynibem</w:t>
            </w:r>
            <w:proofErr w:type="spellEnd"/>
            <w:r w:rsidR="00BD3DD5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erlotynibem</w:t>
            </w:r>
            <w:proofErr w:type="spellEnd"/>
            <w:r w:rsidR="00F8463B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gefitynibem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872946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872946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T790M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5D6DAF67" w14:textId="77777777" w:rsidR="0038781F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3" w:name="_Hlk121384130"/>
            <w:r w:rsidR="00327380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1A23DB" w:rsidRPr="00872946">
              <w:rPr>
                <w:color w:val="000000" w:themeColor="text1"/>
                <w:sz w:val="20"/>
                <w:szCs w:val="20"/>
              </w:rPr>
              <w:t>:</w:t>
            </w:r>
          </w:p>
          <w:bookmarkEnd w:id="3"/>
          <w:p w14:paraId="53EEED57" w14:textId="77777777" w:rsidR="0082165C" w:rsidRPr="00872946" w:rsidRDefault="00C02C28" w:rsidP="00E50798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1014042A" w14:textId="77777777" w:rsidR="0082165C" w:rsidRPr="00872946" w:rsidRDefault="006B4F9B" w:rsidP="00E50798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6AF085C3" w14:textId="77777777" w:rsidR="00704C7E" w:rsidRPr="00872946" w:rsidRDefault="006B4F9B" w:rsidP="00E50798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i/>
                <w:iCs/>
                <w:color w:val="000000" w:themeColor="text1"/>
                <w:sz w:val="20"/>
                <w:szCs w:val="20"/>
              </w:rPr>
              <w:t>not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872946">
              <w:rPr>
                <w:i/>
                <w:iCs/>
                <w:color w:val="000000" w:themeColor="text1"/>
                <w:sz w:val="20"/>
                <w:szCs w:val="20"/>
              </w:rPr>
              <w:t>otherwise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872946">
              <w:rPr>
                <w:i/>
                <w:iCs/>
                <w:color w:val="000000" w:themeColor="text1"/>
                <w:sz w:val="20"/>
                <w:szCs w:val="20"/>
              </w:rPr>
              <w:t>specified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NOS);</w:t>
            </w:r>
          </w:p>
          <w:p w14:paraId="2848871F" w14:textId="77777777" w:rsidR="00421DBA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T790M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1B1CF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1747EB7" w14:textId="77777777" w:rsidR="006C143A" w:rsidRPr="00872946" w:rsidRDefault="00CD5AA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p</w:t>
            </w:r>
            <w:r w:rsidR="00B05A85" w:rsidRPr="00872946">
              <w:rPr>
                <w:sz w:val="20"/>
                <w:szCs w:val="20"/>
              </w:rPr>
              <w:t>rogresja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60AD" w:rsidRPr="00872946">
              <w:rPr>
                <w:sz w:val="20"/>
                <w:szCs w:val="20"/>
              </w:rPr>
              <w:t>choroby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B05A85" w:rsidRPr="00872946">
              <w:rPr>
                <w:sz w:val="20"/>
                <w:szCs w:val="20"/>
              </w:rPr>
              <w:t>po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145A39" w:rsidRPr="00872946">
              <w:rPr>
                <w:sz w:val="20"/>
                <w:szCs w:val="20"/>
              </w:rPr>
              <w:t>wcześniejszym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B05A85" w:rsidRPr="00872946">
              <w:rPr>
                <w:sz w:val="20"/>
                <w:szCs w:val="20"/>
              </w:rPr>
              <w:t>zastosowaniu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sz w:val="20"/>
                <w:szCs w:val="20"/>
              </w:rPr>
              <w:t>afatynib</w:t>
            </w:r>
            <w:r w:rsidR="00B05A85" w:rsidRPr="00872946">
              <w:rPr>
                <w:sz w:val="20"/>
                <w:szCs w:val="20"/>
              </w:rPr>
              <w:t>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BD3DD5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BD3DD5" w:rsidRPr="00872946">
              <w:rPr>
                <w:sz w:val="20"/>
                <w:szCs w:val="20"/>
              </w:rPr>
              <w:t>dakomitynibu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BD3DD5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sz w:val="20"/>
                <w:szCs w:val="20"/>
              </w:rPr>
              <w:t>erlotynib</w:t>
            </w:r>
            <w:r w:rsidR="00B05A85" w:rsidRPr="00872946">
              <w:rPr>
                <w:sz w:val="20"/>
                <w:szCs w:val="20"/>
              </w:rPr>
              <w:t>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FE60AD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sz w:val="20"/>
                <w:szCs w:val="20"/>
              </w:rPr>
              <w:t>gefitynib</w:t>
            </w:r>
            <w:r w:rsidR="00B05A85" w:rsidRPr="00872946">
              <w:rPr>
                <w:sz w:val="20"/>
                <w:szCs w:val="20"/>
              </w:rPr>
              <w:t>u</w:t>
            </w:r>
            <w:proofErr w:type="spellEnd"/>
            <w:r w:rsidR="00FE60AD" w:rsidRPr="00872946">
              <w:rPr>
                <w:sz w:val="20"/>
                <w:szCs w:val="20"/>
              </w:rPr>
              <w:t>;</w:t>
            </w:r>
          </w:p>
          <w:p w14:paraId="6D2DECC6" w14:textId="77777777" w:rsidR="00A308A1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328BE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328BE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5E14DE9" w14:textId="77777777" w:rsidR="00D6054B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7F76AAE6" w14:textId="77777777" w:rsidR="00601F0B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6872FCC" w14:textId="77777777" w:rsidR="00601F0B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0-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872946">
              <w:rPr>
                <w:color w:val="000000" w:themeColor="text1"/>
                <w:sz w:val="20"/>
                <w:szCs w:val="20"/>
              </w:rPr>
              <w:t>-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0B414A81" w14:textId="77777777" w:rsidR="00CE567C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EE2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E567C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2D3DC7A" w14:textId="77777777" w:rsidR="005E44D7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B1CF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4BE1533" w14:textId="77777777" w:rsidR="00027B02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3B404069" w14:textId="77777777" w:rsidR="00066200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6200"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B1CF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AF3D1CA" w14:textId="77777777" w:rsidR="00066200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n</w:t>
            </w:r>
            <w:r w:rsidR="002E6EF0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2E6EF0" w:rsidRPr="00872946">
              <w:rPr>
                <w:sz w:val="20"/>
                <w:szCs w:val="20"/>
              </w:rPr>
              <w:t>leczeniem</w:t>
            </w:r>
            <w:r w:rsidRPr="00872946">
              <w:rPr>
                <w:sz w:val="20"/>
                <w:szCs w:val="20"/>
              </w:rPr>
              <w:t>.</w:t>
            </w:r>
          </w:p>
          <w:p w14:paraId="66C3FD75" w14:textId="7777777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7DF71DC" w14:textId="77777777" w:rsidR="00DA5803" w:rsidRPr="00872946" w:rsidRDefault="00DA580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21FBE2B" w14:textId="77777777" w:rsidR="00DA5803" w:rsidRPr="00872946" w:rsidRDefault="00034ADE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po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radykalnym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leczeniu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chirurgicznym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uzupełniającego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wykorzystaniem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b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36CF48C5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trike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lastRenderedPageBreak/>
              <w:t>r</w:t>
            </w:r>
            <w:r w:rsidR="00DA5803" w:rsidRPr="00872946">
              <w:rPr>
                <w:sz w:val="20"/>
                <w:szCs w:val="20"/>
              </w:rPr>
              <w:t>ozpoznanie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pooperacyjne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gruczołowego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raka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płuca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raka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płuca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przewagą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komponenty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gruczolakoraka;</w:t>
            </w:r>
          </w:p>
          <w:p w14:paraId="49277C8A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o</w:t>
            </w:r>
            <w:r w:rsidR="00A70504" w:rsidRPr="00872946">
              <w:rPr>
                <w:sz w:val="20"/>
                <w:szCs w:val="20"/>
              </w:rPr>
              <w:t>becność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mutacji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aktywującej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genie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i/>
                <w:iCs/>
                <w:sz w:val="20"/>
                <w:szCs w:val="20"/>
              </w:rPr>
              <w:t>EGFR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delecją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872946">
              <w:rPr>
                <w:sz w:val="20"/>
                <w:szCs w:val="20"/>
              </w:rPr>
              <w:t>eksonie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19.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substytucja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872946">
              <w:rPr>
                <w:sz w:val="20"/>
                <w:szCs w:val="20"/>
              </w:rPr>
              <w:t>eksonie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21.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testu;</w:t>
            </w:r>
          </w:p>
          <w:p w14:paraId="0AE1A535" w14:textId="77777777" w:rsidR="00A70504" w:rsidRPr="00872946" w:rsidRDefault="00034ADE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z</w:t>
            </w:r>
            <w:r w:rsidR="00A70504" w:rsidRPr="00872946">
              <w:rPr>
                <w:sz w:val="20"/>
                <w:szCs w:val="20"/>
              </w:rPr>
              <w:t>aawansowanie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patomorfologiczne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stopniu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IB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–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III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według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klasyfikacji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UICC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2016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roku;</w:t>
            </w:r>
            <w:r w:rsidR="00372E3E" w:rsidRPr="00872946">
              <w:rPr>
                <w:sz w:val="20"/>
                <w:szCs w:val="20"/>
              </w:rPr>
              <w:t xml:space="preserve"> </w:t>
            </w:r>
          </w:p>
          <w:p w14:paraId="0D8BAB63" w14:textId="77777777" w:rsidR="00A70504" w:rsidRPr="00872946" w:rsidRDefault="000934B2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uprzednie poddanie </w:t>
            </w:r>
            <w:r w:rsidR="00850D0B" w:rsidRPr="00872946">
              <w:rPr>
                <w:sz w:val="20"/>
                <w:szCs w:val="20"/>
              </w:rPr>
              <w:t>radykalnemu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leczeniu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chirurgicznemu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niezależnie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od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zastosowania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chemioterapii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uzupełniającej;</w:t>
            </w:r>
          </w:p>
          <w:p w14:paraId="423AB33B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0FAB619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0-</w:t>
            </w:r>
            <w:r w:rsidR="00FC3906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A5803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0D28CADB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0FAEB01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5166F16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28B08439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6CD4165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</w:t>
            </w:r>
            <w:r w:rsidR="00DA580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leczeniem;</w:t>
            </w:r>
          </w:p>
          <w:p w14:paraId="5B528C7E" w14:textId="77777777" w:rsidR="00257DA1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8E49E96" w14:textId="77777777" w:rsidR="0052756C" w:rsidRPr="00872946" w:rsidRDefault="0052756C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5A487AE" w14:textId="77777777" w:rsidR="0052756C" w:rsidRPr="00872946" w:rsidRDefault="00B85AE8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ab/>
              <w:t xml:space="preserve">Chorych na </w:t>
            </w:r>
            <w:proofErr w:type="spellStart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radykalnej resekcji i pooperacyjnej chemioterapii</w:t>
            </w:r>
            <w:r w:rsidR="00DC6735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z ekspresją PD-L1 na komórkach guza z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C6735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zastosowaniem </w:t>
            </w:r>
            <w:proofErr w:type="spellStart"/>
            <w:r w:rsidR="00DC6735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</w:p>
          <w:p w14:paraId="53F5F7F9" w14:textId="77777777" w:rsidR="00B85AE8" w:rsidRPr="00872946" w:rsidRDefault="00B85AE8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rozpoznanie histologiczne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raka płuca;</w:t>
            </w:r>
          </w:p>
          <w:p w14:paraId="1E36FC87" w14:textId="77777777" w:rsidR="00B85AE8" w:rsidRPr="00872946" w:rsidRDefault="00B85AE8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 xml:space="preserve">zaawansowanie pooperacyjne </w:t>
            </w:r>
            <w:r w:rsidR="00AD29D7" w:rsidRPr="00872946">
              <w:rPr>
                <w:color w:val="000000" w:themeColor="text1"/>
                <w:sz w:val="20"/>
                <w:szCs w:val="20"/>
              </w:rPr>
              <w:t>wg 8. wersji klasyfikacji TNM</w:t>
            </w:r>
            <w:r w:rsidRPr="00872946">
              <w:rPr>
                <w:color w:val="000000" w:themeColor="text1"/>
                <w:sz w:val="20"/>
                <w:szCs w:val="20"/>
              </w:rPr>
              <w:t>:</w:t>
            </w:r>
          </w:p>
          <w:p w14:paraId="3E827E31" w14:textId="77777777" w:rsidR="00B85AE8" w:rsidRPr="00872946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a) IIA i IIB oraz IIIA,</w:t>
            </w:r>
          </w:p>
          <w:p w14:paraId="2F2FEBA7" w14:textId="77777777" w:rsidR="00B85AE8" w:rsidRPr="00872946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b) pT3pN2;</w:t>
            </w:r>
          </w:p>
          <w:p w14:paraId="5C7034F1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wcześniejsza radykalna (cecha R0) resekcja guza płuca i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limfadenektomia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węzłów chłonnych śródpiersia;</w:t>
            </w:r>
          </w:p>
          <w:p w14:paraId="57ABE222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przebyta chemioterapia uzupełniająca oparta na pochodnych platyny, zgodnie z wytycznymi postępowania, w okresie do 8 tygodni przed zakwalifikowaniem do leczenia; </w:t>
            </w:r>
          </w:p>
          <w:p w14:paraId="780F115C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odsetek komórek nowotworowych z ekspresją PD-L1 ≥ 50% w materiale pooperacyjnym potwierdzony na podstawie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7519DC8C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brak obecności mutacji aktywujących w genie EGFR oraz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genach ALK i ROS1 w przypadku raków innych niż płaskonabłonkowy, potwierdzonej na podstawie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7C2ED6E0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wykluczenie wcześniejszego leczenia wstępnego (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neoadjuwantowego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);</w:t>
            </w:r>
          </w:p>
          <w:p w14:paraId="2BF63E7F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wiek powyżej 18 roku życia</w:t>
            </w:r>
            <w:r w:rsidR="007B45C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0C85000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3FB1DCE0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czynność układu krwiotwórczego umożliwiająca leczenie zgodnie z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5736527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6FC5299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28F991B9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09582D64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 xml:space="preserve">nieobecność przeciwwskazań do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określonych w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6D21E3C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wykluczenie jednoczesnego stosowania leków ukierunkowanych molekularnie;</w:t>
            </w:r>
          </w:p>
          <w:p w14:paraId="15DEB386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ustąpienie lub zmniejszenie do 1. stopnia niepożądanych działań związanych z wcześniejszym leczeniem (wyjątek: utrata owłosienia);</w:t>
            </w:r>
          </w:p>
          <w:p w14:paraId="1B99D959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7833F19D" w14:textId="77777777" w:rsidR="00B85AE8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BC8FC68" w14:textId="77777777" w:rsidR="00257DA1" w:rsidRPr="00872946" w:rsidRDefault="00257DA1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68882308" w14:textId="77777777" w:rsidR="008D0564" w:rsidRPr="00872946" w:rsidRDefault="008D0564" w:rsidP="00E50798">
            <w:pPr>
              <w:pStyle w:val="Akapitzlist"/>
              <w:numPr>
                <w:ilvl w:val="1"/>
                <w:numId w:val="23"/>
              </w:numPr>
              <w:contextualSpacing w:val="0"/>
              <w:rPr>
                <w:b/>
                <w:bCs/>
                <w:sz w:val="20"/>
                <w:szCs w:val="20"/>
              </w:rPr>
            </w:pPr>
            <w:r w:rsidRPr="00872946">
              <w:rPr>
                <w:b/>
                <w:bCs/>
                <w:sz w:val="20"/>
                <w:szCs w:val="20"/>
              </w:rPr>
              <w:t xml:space="preserve">Chorych na </w:t>
            </w:r>
            <w:proofErr w:type="spellStart"/>
            <w:r w:rsidRPr="00872946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872946">
              <w:rPr>
                <w:b/>
                <w:bCs/>
                <w:sz w:val="20"/>
                <w:szCs w:val="20"/>
              </w:rPr>
              <w:t xml:space="preserve"> raka płuca, kwalifikujących się do radykalnej resekcji chirurgicznej, do leczenia wstępnego z zastosowaniem </w:t>
            </w:r>
            <w:proofErr w:type="spellStart"/>
            <w:r w:rsidRPr="00872946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Pr="00872946">
              <w:rPr>
                <w:b/>
                <w:bCs/>
                <w:sz w:val="20"/>
                <w:szCs w:val="20"/>
              </w:rPr>
              <w:t xml:space="preserve"> w skojarzeniu z chemioterapią</w:t>
            </w:r>
          </w:p>
          <w:p w14:paraId="49B4D07C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rozpoznanie histologiczne </w:t>
            </w:r>
            <w:proofErr w:type="spellStart"/>
            <w:r w:rsidRPr="00872946">
              <w:rPr>
                <w:sz w:val="20"/>
                <w:szCs w:val="20"/>
              </w:rPr>
              <w:t>niedrobnokomórkowego</w:t>
            </w:r>
            <w:proofErr w:type="spellEnd"/>
            <w:r w:rsidRPr="00872946">
              <w:rPr>
                <w:sz w:val="20"/>
                <w:szCs w:val="20"/>
              </w:rPr>
              <w:t xml:space="preserve"> raka płuca;</w:t>
            </w:r>
          </w:p>
          <w:p w14:paraId="38AEF213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stopień zaawansowania klinicznego:  II - IIIA</w:t>
            </w:r>
            <w:r w:rsidRPr="00872946">
              <w:t xml:space="preserve"> </w:t>
            </w:r>
            <w:r w:rsidRPr="00872946">
              <w:rPr>
                <w:sz w:val="20"/>
                <w:szCs w:val="20"/>
              </w:rPr>
              <w:t>+ IIIB (tylko dla T2-T4 N2, pod warunkiem możliwości wykonania doszczętnej resekcji);</w:t>
            </w:r>
          </w:p>
          <w:p w14:paraId="2A899241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odsetek komórek nowotworowych z ekspresją </w:t>
            </w:r>
            <w:r w:rsidRPr="00872946">
              <w:rPr>
                <w:sz w:val="20"/>
                <w:szCs w:val="20"/>
              </w:rPr>
              <w:t xml:space="preserve">PD-L1 na komórkach nowotworowych ≥ 1% potwierdzony na podstawie </w:t>
            </w:r>
            <w:proofErr w:type="spellStart"/>
            <w:r w:rsidRPr="00872946">
              <w:rPr>
                <w:sz w:val="20"/>
                <w:szCs w:val="20"/>
              </w:rPr>
              <w:t>zwalidowanego</w:t>
            </w:r>
            <w:proofErr w:type="spellEnd"/>
            <w:r w:rsidRPr="00872946">
              <w:rPr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7ABC88CC" w14:textId="77777777" w:rsidR="008D0564" w:rsidRPr="00872946" w:rsidRDefault="00F65DFD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nieobecność </w:t>
            </w:r>
            <w:r w:rsidR="008D0564" w:rsidRPr="00872946">
              <w:rPr>
                <w:sz w:val="20"/>
                <w:szCs w:val="20"/>
              </w:rPr>
              <w:t xml:space="preserve">mutacji aktywujących w genie EGFR oraz </w:t>
            </w:r>
            <w:proofErr w:type="spellStart"/>
            <w:r w:rsidR="008D0564" w:rsidRPr="00872946">
              <w:rPr>
                <w:sz w:val="20"/>
                <w:szCs w:val="20"/>
              </w:rPr>
              <w:t>rearanżacji</w:t>
            </w:r>
            <w:proofErr w:type="spellEnd"/>
            <w:r w:rsidR="008D0564" w:rsidRPr="00872946">
              <w:rPr>
                <w:sz w:val="20"/>
                <w:szCs w:val="20"/>
              </w:rPr>
              <w:t xml:space="preserve"> w genach ALK i ROS1 w przypadku raków innych niż płaskonabłonkowy potwierdzon</w:t>
            </w:r>
            <w:r w:rsidRPr="00872946">
              <w:rPr>
                <w:sz w:val="20"/>
                <w:szCs w:val="20"/>
              </w:rPr>
              <w:t>a</w:t>
            </w:r>
            <w:r w:rsidR="008D0564" w:rsidRPr="00872946">
              <w:rPr>
                <w:sz w:val="20"/>
                <w:szCs w:val="20"/>
              </w:rPr>
              <w:t xml:space="preserve"> na podstawie </w:t>
            </w:r>
            <w:proofErr w:type="spellStart"/>
            <w:r w:rsidR="008D0564" w:rsidRPr="00872946">
              <w:rPr>
                <w:sz w:val="20"/>
                <w:szCs w:val="20"/>
              </w:rPr>
              <w:t>zwalidowanego</w:t>
            </w:r>
            <w:proofErr w:type="spellEnd"/>
            <w:r w:rsidR="008D0564" w:rsidRPr="00872946">
              <w:rPr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2DD8FB5D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wiek powyżej 18 roku życia;</w:t>
            </w:r>
          </w:p>
          <w:p w14:paraId="782FDEFF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872946">
              <w:rPr>
                <w:sz w:val="20"/>
                <w:szCs w:val="20"/>
              </w:rPr>
              <w:t>Zubroda</w:t>
            </w:r>
            <w:proofErr w:type="spellEnd"/>
            <w:r w:rsidRPr="00872946">
              <w:rPr>
                <w:sz w:val="20"/>
                <w:szCs w:val="20"/>
              </w:rPr>
              <w:t>-WHO lub ECOG;</w:t>
            </w:r>
          </w:p>
          <w:p w14:paraId="5F8AD006" w14:textId="77777777" w:rsidR="008D0564" w:rsidRPr="00872946" w:rsidRDefault="00F65DFD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nieobecność</w:t>
            </w:r>
            <w:r w:rsidR="008D0564" w:rsidRPr="00872946">
              <w:rPr>
                <w:sz w:val="20"/>
                <w:szCs w:val="20"/>
              </w:rPr>
              <w:t xml:space="preserve"> czynników klinicznych uniemożliwiających przeprowadzenie resekcji chirurgicznej;</w:t>
            </w:r>
          </w:p>
          <w:p w14:paraId="6B5B6BE4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lastRenderedPageBreak/>
              <w:t xml:space="preserve">wydolność układu oddechowego umożliwiająca kwalifikację do resekcji chirurgicznej; </w:t>
            </w:r>
          </w:p>
          <w:p w14:paraId="2D46F161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15A6F147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nieobecność aktywnych chorób autoimmunologicznych stanowiących przeciwwskazanie do immunoterapii lub chemioterapii;</w:t>
            </w:r>
          </w:p>
          <w:p w14:paraId="4082FEDE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czynność układu krwiotwórczego umożliwiająca leczenie zgodnie z aktualną </w:t>
            </w:r>
            <w:proofErr w:type="spellStart"/>
            <w:r w:rsidRPr="00872946">
              <w:rPr>
                <w:sz w:val="20"/>
                <w:szCs w:val="20"/>
              </w:rPr>
              <w:t>ChPL</w:t>
            </w:r>
            <w:proofErr w:type="spellEnd"/>
            <w:r w:rsidRPr="00872946">
              <w:rPr>
                <w:sz w:val="20"/>
                <w:szCs w:val="20"/>
              </w:rPr>
              <w:t>;</w:t>
            </w:r>
          </w:p>
          <w:p w14:paraId="7C786ED3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872946">
              <w:rPr>
                <w:sz w:val="20"/>
                <w:szCs w:val="20"/>
              </w:rPr>
              <w:t>ChPL</w:t>
            </w:r>
            <w:proofErr w:type="spellEnd"/>
            <w:r w:rsidRPr="00872946">
              <w:rPr>
                <w:sz w:val="20"/>
                <w:szCs w:val="20"/>
              </w:rPr>
              <w:t>;</w:t>
            </w:r>
          </w:p>
          <w:p w14:paraId="33408F3C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872946">
              <w:rPr>
                <w:sz w:val="20"/>
                <w:szCs w:val="20"/>
              </w:rPr>
              <w:t>niwolumabu</w:t>
            </w:r>
            <w:proofErr w:type="spellEnd"/>
            <w:r w:rsidRPr="00872946">
              <w:rPr>
                <w:sz w:val="20"/>
                <w:szCs w:val="20"/>
              </w:rPr>
              <w:t xml:space="preserve"> określonych w </w:t>
            </w:r>
            <w:proofErr w:type="spellStart"/>
            <w:r w:rsidRPr="00872946">
              <w:rPr>
                <w:sz w:val="20"/>
                <w:szCs w:val="20"/>
              </w:rPr>
              <w:t>ChPL</w:t>
            </w:r>
            <w:proofErr w:type="spellEnd"/>
            <w:r w:rsidRPr="00872946">
              <w:rPr>
                <w:sz w:val="20"/>
                <w:szCs w:val="20"/>
              </w:rPr>
              <w:t>;</w:t>
            </w:r>
          </w:p>
          <w:p w14:paraId="4EC3D0EE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wykluczenie współwystępowania innych nowotworów złośliwych niekontrolowanych leczeniem.</w:t>
            </w:r>
          </w:p>
          <w:p w14:paraId="49331606" w14:textId="77777777" w:rsidR="008D0564" w:rsidRPr="00872946" w:rsidRDefault="008D0564" w:rsidP="00E50798">
            <w:pPr>
              <w:pStyle w:val="Akapitzlist"/>
              <w:ind w:left="0" w:firstLine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Kryteria kwalifikowania muszą być spełnione łącznie.</w:t>
            </w:r>
          </w:p>
          <w:p w14:paraId="47E0BCAB" w14:textId="77777777" w:rsidR="008D0564" w:rsidRPr="00872946" w:rsidRDefault="008D0564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13B2D9D2" w14:textId="77777777" w:rsidR="00AB1564" w:rsidRPr="00872946" w:rsidRDefault="00034ADE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4F5AFDC4" w14:textId="77777777" w:rsidR="00380579" w:rsidRPr="00872946" w:rsidRDefault="00A40EC4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80579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50D0B" w:rsidRPr="00872946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),</w:t>
            </w:r>
          </w:p>
          <w:p w14:paraId="70C6360C" w14:textId="77777777" w:rsidR="001A03CD" w:rsidRPr="00872946" w:rsidRDefault="00AB1564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4" w:name="_Hlk121818499"/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87294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p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bookmarkEnd w:id="4"/>
          <w:p w14:paraId="7F144F22" w14:textId="77777777" w:rsidR="00F8515A" w:rsidRPr="00872946" w:rsidRDefault="00A22519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47A1" w:rsidRPr="00872946">
              <w:rPr>
                <w:b/>
                <w:color w:val="000000" w:themeColor="text1"/>
                <w:sz w:val="20"/>
                <w:szCs w:val="20"/>
              </w:rPr>
              <w:t>pierwszej i kolejnej linii leczenia (</w:t>
            </w:r>
            <w:r w:rsidR="00267941" w:rsidRPr="00872946">
              <w:rPr>
                <w:b/>
                <w:color w:val="000000" w:themeColor="text1"/>
                <w:sz w:val="20"/>
                <w:szCs w:val="20"/>
              </w:rPr>
              <w:t>chor</w:t>
            </w:r>
            <w:r w:rsidR="000547A1" w:rsidRPr="00872946">
              <w:rPr>
                <w:b/>
                <w:color w:val="000000" w:themeColor="text1"/>
                <w:sz w:val="20"/>
                <w:szCs w:val="20"/>
              </w:rPr>
              <w:t>zy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zastosowani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5C11" w:rsidRPr="00872946">
              <w:rPr>
                <w:b/>
                <w:color w:val="000000" w:themeColor="text1"/>
                <w:sz w:val="20"/>
                <w:szCs w:val="20"/>
              </w:rPr>
              <w:t xml:space="preserve">inhibitora ALK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generacji</w:t>
            </w:r>
            <w:r w:rsidR="000547A1"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2806F9"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492CD764" w14:textId="77777777" w:rsidR="007F0ED5" w:rsidRPr="00872946" w:rsidRDefault="007F0ED5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Pr="00872946">
              <w:rPr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Pr="00872946">
              <w:rPr>
                <w:b/>
                <w:color w:val="000000" w:themeColor="text1"/>
                <w:sz w:val="20"/>
                <w:szCs w:val="20"/>
              </w:rPr>
              <w:t xml:space="preserve"> genu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 w pierwszej i kolejnej linii leczenia (chorzy z niepowodzeniem wcześniejszej chemioterapii)</w:t>
            </w:r>
          </w:p>
          <w:p w14:paraId="585003E6" w14:textId="77777777" w:rsidR="00D6054B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r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10B26FF7" w14:textId="77777777" w:rsidR="00D6054B" w:rsidRPr="00872946" w:rsidRDefault="00D6054B" w:rsidP="00E50798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287E0F4E" w14:textId="77777777" w:rsidR="00D6054B" w:rsidRPr="00872946" w:rsidRDefault="00D6054B" w:rsidP="00E50798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071DDC23" w14:textId="77777777" w:rsidR="00BA7CCD" w:rsidRPr="00872946" w:rsidRDefault="00D6054B" w:rsidP="00E50798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NOS);</w:t>
            </w:r>
          </w:p>
          <w:p w14:paraId="1F92D20E" w14:textId="77777777" w:rsidR="00BA7CCD" w:rsidRPr="00872946" w:rsidRDefault="00BD786B" w:rsidP="00E50798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o</w:t>
            </w:r>
            <w:r w:rsidR="007D5BBC" w:rsidRPr="00872946">
              <w:rPr>
                <w:sz w:val="20"/>
                <w:szCs w:val="20"/>
              </w:rPr>
              <w:t>becność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sz w:val="20"/>
                <w:szCs w:val="20"/>
              </w:rPr>
              <w:t>rearanżacji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genie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i/>
                <w:sz w:val="20"/>
                <w:szCs w:val="20"/>
              </w:rPr>
              <w:t>ALK</w:t>
            </w:r>
            <w:r w:rsidR="00372E3E" w:rsidRPr="00872946">
              <w:rPr>
                <w:iCs/>
                <w:sz w:val="20"/>
                <w:szCs w:val="20"/>
              </w:rPr>
              <w:t xml:space="preserve"> </w:t>
            </w:r>
            <w:r w:rsidR="007D5BBC" w:rsidRPr="00872946">
              <w:rPr>
                <w:iCs/>
                <w:sz w:val="20"/>
                <w:szCs w:val="20"/>
              </w:rPr>
              <w:t>lub</w:t>
            </w:r>
            <w:r w:rsidR="00372E3E" w:rsidRPr="00872946">
              <w:rPr>
                <w:iCs/>
                <w:sz w:val="20"/>
                <w:szCs w:val="20"/>
              </w:rPr>
              <w:t xml:space="preserve"> </w:t>
            </w:r>
            <w:r w:rsidR="007D5BBC" w:rsidRPr="00872946">
              <w:rPr>
                <w:i/>
                <w:sz w:val="20"/>
                <w:szCs w:val="20"/>
              </w:rPr>
              <w:t>ROS1</w:t>
            </w:r>
            <w:r w:rsidR="00372E3E" w:rsidRPr="00872946">
              <w:rPr>
                <w:iCs/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na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podstawie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testu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wykonywanego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laboratorium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posiadającym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aktualny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certyfikat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programu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kontroli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jakości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dla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danego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testu;</w:t>
            </w:r>
          </w:p>
          <w:p w14:paraId="5E91246C" w14:textId="77777777" w:rsidR="00BC6455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12F2C10" w14:textId="77777777" w:rsidR="00917CBE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przeprowadzenia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917CBE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917CBE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09BA19B6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437921ED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</w:t>
            </w:r>
            <w:r w:rsidR="00027B02" w:rsidRPr="00872946">
              <w:rPr>
                <w:sz w:val="20"/>
                <w:szCs w:val="20"/>
              </w:rPr>
              <w:t>iek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powyżej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18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roku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życia;</w:t>
            </w:r>
          </w:p>
          <w:p w14:paraId="19175907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s</w:t>
            </w:r>
            <w:r w:rsidR="00027B02" w:rsidRPr="00872946">
              <w:rPr>
                <w:sz w:val="20"/>
                <w:szCs w:val="20"/>
              </w:rPr>
              <w:t>prawność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stopniu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0-2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wg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klasyfikacji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027B02" w:rsidRPr="00872946">
              <w:rPr>
                <w:sz w:val="20"/>
                <w:szCs w:val="20"/>
              </w:rPr>
              <w:t>Zubroda</w:t>
            </w:r>
            <w:proofErr w:type="spellEnd"/>
            <w:r w:rsidR="00027B02" w:rsidRPr="00872946">
              <w:rPr>
                <w:sz w:val="20"/>
                <w:szCs w:val="20"/>
              </w:rPr>
              <w:t>-WHO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ECOG;</w:t>
            </w:r>
          </w:p>
          <w:p w14:paraId="2FBF2E1F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5459272A" w14:textId="77777777" w:rsidR="0071790D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71790D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układu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krwiotwórczego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BA7CCD" w:rsidRPr="00872946">
              <w:rPr>
                <w:sz w:val="20"/>
                <w:szCs w:val="20"/>
              </w:rPr>
              <w:t>ChPL</w:t>
            </w:r>
            <w:proofErr w:type="spellEnd"/>
            <w:r w:rsidR="0071790D" w:rsidRPr="00872946">
              <w:rPr>
                <w:sz w:val="20"/>
                <w:szCs w:val="20"/>
              </w:rPr>
              <w:t>;</w:t>
            </w:r>
          </w:p>
          <w:p w14:paraId="7B40502B" w14:textId="77777777" w:rsidR="00F43ACD" w:rsidRPr="00872946" w:rsidRDefault="00BD786B" w:rsidP="00E50798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027B02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BA7CCD" w:rsidRPr="00872946">
              <w:rPr>
                <w:sz w:val="20"/>
                <w:szCs w:val="20"/>
              </w:rPr>
              <w:t>C</w:t>
            </w:r>
            <w:r w:rsidR="00651892" w:rsidRPr="00872946">
              <w:rPr>
                <w:sz w:val="20"/>
                <w:szCs w:val="20"/>
              </w:rPr>
              <w:t>h</w:t>
            </w:r>
            <w:r w:rsidR="00BA7CCD" w:rsidRPr="00872946">
              <w:rPr>
                <w:sz w:val="20"/>
                <w:szCs w:val="20"/>
              </w:rPr>
              <w:t>PL</w:t>
            </w:r>
            <w:proofErr w:type="spellEnd"/>
            <w:r w:rsidR="00711AAB" w:rsidRPr="00872946">
              <w:rPr>
                <w:sz w:val="20"/>
                <w:szCs w:val="20"/>
              </w:rPr>
              <w:t>;</w:t>
            </w:r>
          </w:p>
          <w:p w14:paraId="6D50809F" w14:textId="77777777" w:rsidR="00F43ACD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872946">
              <w:rPr>
                <w:color w:val="000000" w:themeColor="text1"/>
                <w:sz w:val="20"/>
                <w:szCs w:val="20"/>
              </w:rPr>
              <w:t>kryzot</w:t>
            </w:r>
            <w:r w:rsidR="00BC7849" w:rsidRPr="00872946">
              <w:rPr>
                <w:color w:val="000000" w:themeColor="text1"/>
                <w:sz w:val="20"/>
                <w:szCs w:val="20"/>
              </w:rPr>
              <w:t>y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319B" w:rsidRPr="00872946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03CD" w:rsidRPr="00872946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06F9" w:rsidRPr="00872946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2806F9" w:rsidRPr="00872946">
              <w:rPr>
                <w:bCs/>
                <w:color w:val="000000" w:themeColor="text1"/>
                <w:sz w:val="20"/>
                <w:szCs w:val="20"/>
              </w:rPr>
              <w:t>entrektynibu</w:t>
            </w:r>
            <w:proofErr w:type="spellEnd"/>
            <w:r w:rsidR="002806F9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A7CCD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BA7CC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4634F78" w14:textId="77777777" w:rsidR="000E3EDF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n</w:t>
            </w:r>
            <w:r w:rsidR="000E3EDF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E3EDF" w:rsidRPr="00872946">
              <w:rPr>
                <w:sz w:val="20"/>
                <w:szCs w:val="20"/>
              </w:rPr>
              <w:t>leczeniem.</w:t>
            </w:r>
          </w:p>
          <w:p w14:paraId="30EC843D" w14:textId="77777777" w:rsidR="00867489" w:rsidRPr="00872946" w:rsidRDefault="00711AAB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7C99E33C" w14:textId="77777777" w:rsidR="00932263" w:rsidRPr="00872946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36AF7526" w14:textId="77777777" w:rsidR="007C2408" w:rsidRPr="000C3D3E" w:rsidRDefault="00BD786B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5" w:name="_Hlk121384546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lini</w:t>
            </w:r>
            <w:r w:rsidR="00177B1B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0C3D3E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0C3D3E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407" w:rsidRPr="000C3D3E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205407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chemioterapią opartą na związkach platyny albo </w:t>
            </w:r>
            <w:proofErr w:type="spellStart"/>
            <w:r w:rsidR="00A52D16" w:rsidRPr="000C3D3E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0C3D3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0C3D3E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0C3D3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0C3D3E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E2725D" w:rsidRPr="000C3D3E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Pr="000C3D3E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bookmarkEnd w:id="5"/>
          <w:p w14:paraId="042E127E" w14:textId="77777777" w:rsidR="007C2408" w:rsidRPr="00872946" w:rsidRDefault="000E3EDF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C3D3E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0C3D3E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0C3D3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C3D3E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0C3D3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806F9" w:rsidRPr="000C3D3E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0C3D3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C3D3E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0C3D3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0C3D3E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≥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87294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872946">
              <w:rPr>
                <w:b/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87294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872946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76881D86" w14:textId="77777777" w:rsidR="007C2408" w:rsidRPr="00872946" w:rsidRDefault="000E3EDF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2806F9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52D16"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pochodną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016796"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5EE18EE5" w14:textId="77777777" w:rsidR="00177B1B" w:rsidRPr="00872946" w:rsidRDefault="000E3EDF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NOS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2806F9"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0E33D2B8" w14:textId="77777777" w:rsidR="00376261" w:rsidRDefault="002F5537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t>rak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14DC6"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4500F" w:rsidRPr="00872946">
              <w:rPr>
                <w:b/>
                <w:color w:val="000000" w:themeColor="text1"/>
                <w:sz w:val="20"/>
                <w:szCs w:val="20"/>
              </w:rPr>
              <w:t xml:space="preserve">lub NOS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ekspresją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(2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cykle)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opartą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pochodne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D02EBC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7527830E" w14:textId="77777777" w:rsidR="00D02EBC" w:rsidRPr="000C3D3E" w:rsidRDefault="00D02EBC" w:rsidP="00D02EBC">
            <w:pPr>
              <w:pStyle w:val="Akapitzlist"/>
              <w:numPr>
                <w:ilvl w:val="5"/>
                <w:numId w:val="37"/>
              </w:numPr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6" w:name="_Hlk175753645"/>
            <w:r w:rsidRPr="000C3D3E">
              <w:rPr>
                <w:b/>
                <w:color w:val="000000" w:themeColor="text1"/>
                <w:sz w:val="20"/>
                <w:szCs w:val="20"/>
              </w:rPr>
              <w:t xml:space="preserve">rak płaskonabłonkowy lub niepłaskonabłonkowy z ekspresją PD-L1 ≥ 1% - </w:t>
            </w:r>
            <w:proofErr w:type="spellStart"/>
            <w:r w:rsidRPr="000C3D3E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Pr="000C3D3E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7302BA" w:rsidRPr="000C3D3E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7302BA" w:rsidRPr="000C3D3E">
              <w:rPr>
                <w:b/>
                <w:color w:val="000000" w:themeColor="text1"/>
                <w:sz w:val="20"/>
                <w:szCs w:val="20"/>
              </w:rPr>
              <w:t xml:space="preserve"> i pochodną platyny lub </w:t>
            </w:r>
            <w:proofErr w:type="spellStart"/>
            <w:r w:rsidR="007302BA" w:rsidRPr="000C3D3E">
              <w:rPr>
                <w:b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7302BA" w:rsidRPr="000C3D3E">
              <w:rPr>
                <w:b/>
                <w:color w:val="000000" w:themeColor="text1"/>
                <w:sz w:val="20"/>
                <w:szCs w:val="20"/>
              </w:rPr>
              <w:t xml:space="preserve"> i pochodną platyny,</w:t>
            </w:r>
          </w:p>
          <w:bookmarkEnd w:id="6"/>
          <w:p w14:paraId="07DBA25B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C3D3E">
              <w:rPr>
                <w:color w:val="000000" w:themeColor="text1"/>
                <w:sz w:val="20"/>
                <w:szCs w:val="20"/>
              </w:rPr>
              <w:t>r</w:t>
            </w:r>
            <w:r w:rsidR="007C2408" w:rsidRPr="000C3D3E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C3D3E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C3D3E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C3D3E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0C3D3E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C14A44" w:rsidRPr="00872946">
              <w:rPr>
                <w:color w:val="000000" w:themeColor="text1"/>
                <w:sz w:val="20"/>
                <w:szCs w:val="20"/>
              </w:rPr>
              <w:t>;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FF030B0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cena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e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kspresj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komórkach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na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podstawie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71790D" w:rsidRPr="00872946">
              <w:rPr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testu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wykonywanego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laboratorium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posiadającym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aktualny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certyfikat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programu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kontroli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jakości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dla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danego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testu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:</w:t>
            </w:r>
          </w:p>
          <w:p w14:paraId="0C888930" w14:textId="77777777" w:rsidR="007C2408" w:rsidRPr="00872946" w:rsidRDefault="007C2408" w:rsidP="00E50798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odsetek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większy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872946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4204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6D03A138" w14:textId="77777777" w:rsidR="007C2408" w:rsidRPr="000C3D3E" w:rsidRDefault="007C2408" w:rsidP="00E50798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C3D3E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z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poniżej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C3D3E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3D3E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C3D3E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0C3D3E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0C3D3E">
              <w:rPr>
                <w:color w:val="000000" w:themeColor="text1"/>
                <w:sz w:val="20"/>
                <w:szCs w:val="20"/>
              </w:rPr>
              <w:t>i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0C3D3E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w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skojarzeniu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0C3D3E">
              <w:rPr>
                <w:color w:val="000000" w:themeColor="text1"/>
                <w:sz w:val="20"/>
                <w:szCs w:val="20"/>
              </w:rPr>
              <w:t>z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0C3D3E">
              <w:rPr>
                <w:color w:val="000000" w:themeColor="text1"/>
                <w:sz w:val="20"/>
                <w:szCs w:val="20"/>
              </w:rPr>
              <w:t>chemioterapią</w:t>
            </w:r>
            <w:r w:rsidR="00A52D16" w:rsidRPr="000C3D3E">
              <w:rPr>
                <w:color w:val="000000" w:themeColor="text1"/>
                <w:sz w:val="20"/>
                <w:szCs w:val="20"/>
              </w:rPr>
              <w:t>;</w:t>
            </w:r>
          </w:p>
          <w:p w14:paraId="3F4CD6AF" w14:textId="77777777" w:rsidR="00D02EBC" w:rsidRPr="000C3D3E" w:rsidRDefault="00D02EBC" w:rsidP="00D02EBC">
            <w:pPr>
              <w:pStyle w:val="Akapitzlist"/>
              <w:numPr>
                <w:ilvl w:val="4"/>
                <w:numId w:val="44"/>
              </w:numPr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C3D3E">
              <w:rPr>
                <w:color w:val="000000" w:themeColor="text1"/>
                <w:sz w:val="20"/>
                <w:szCs w:val="20"/>
              </w:rPr>
              <w:t xml:space="preserve">odsetek komórek nowotworowych z ekspresją PD-L1 1% lub większy – kryterium kwalifikacji do stosowania </w:t>
            </w:r>
            <w:proofErr w:type="spellStart"/>
            <w:r w:rsidRPr="000C3D3E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Pr="000C3D3E">
              <w:rPr>
                <w:color w:val="000000" w:themeColor="text1"/>
                <w:sz w:val="20"/>
                <w:szCs w:val="20"/>
              </w:rPr>
              <w:t xml:space="preserve"> w skojarzeniu z chemioterapią opartą na związkach platyny;</w:t>
            </w:r>
          </w:p>
          <w:p w14:paraId="01D4BC70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C3D3E">
              <w:rPr>
                <w:color w:val="000000" w:themeColor="text1"/>
                <w:sz w:val="20"/>
                <w:szCs w:val="20"/>
              </w:rPr>
              <w:t>w</w:t>
            </w:r>
            <w:r w:rsidR="007C2408" w:rsidRPr="000C3D3E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C3D3E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C3D3E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C3D3E">
              <w:rPr>
                <w:color w:val="000000" w:themeColor="text1"/>
                <w:sz w:val="20"/>
                <w:szCs w:val="20"/>
              </w:rPr>
              <w:t>w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C3D3E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C3D3E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C3D3E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gruczołowego,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NOS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(w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rozpoznania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płaskonabłonkowego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wykonanie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testów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wymagane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)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94DC564" w14:textId="77777777" w:rsidR="00FE1044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E1044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FE1044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179A69B8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9D680E7" w14:textId="77777777" w:rsidR="00FE1044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551BD537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7CF7AC5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5DA59E99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5C234EA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1,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7674CCF8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c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aktualn</w:t>
            </w:r>
            <w:r w:rsidR="0036529D" w:rsidRPr="00872946">
              <w:rPr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36529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9E84FBC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7" w:name="_Hlk53404333"/>
            <w:r w:rsidRPr="00872946">
              <w:rPr>
                <w:sz w:val="20"/>
                <w:szCs w:val="20"/>
              </w:rPr>
              <w:t>c</w:t>
            </w:r>
            <w:r w:rsidR="00FE1044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bookmarkEnd w:id="7"/>
            <w:proofErr w:type="spellStart"/>
            <w:r w:rsidR="00C65BDE" w:rsidRPr="00872946">
              <w:rPr>
                <w:sz w:val="20"/>
                <w:szCs w:val="20"/>
              </w:rPr>
              <w:t>ChPL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047D30F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F7F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7C2F7F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872946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766E9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872946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09058E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platyny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E78D8B7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n</w:t>
            </w:r>
            <w:r w:rsidR="00917CBE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917CBE" w:rsidRPr="00872946">
              <w:rPr>
                <w:sz w:val="20"/>
                <w:szCs w:val="20"/>
              </w:rPr>
              <w:t>leczeniem.</w:t>
            </w:r>
          </w:p>
          <w:p w14:paraId="3D1EBE65" w14:textId="7777777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5F7B0154" w14:textId="77777777" w:rsidR="00932263" w:rsidRPr="00872946" w:rsidRDefault="00932263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CEEEF27" w14:textId="77777777" w:rsidR="00354575" w:rsidRPr="00872946" w:rsidRDefault="00BD786B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8" w:name="_Hlk121818705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592E" w:rsidRPr="00872946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2C90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68348F" w:rsidRPr="00872946">
              <w:rPr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wszystkich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typach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370BB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1370BB" w:rsidRPr="00872946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1370BB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8"/>
          <w:p w14:paraId="45595368" w14:textId="77777777" w:rsidR="00E00AA1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EE18504" w14:textId="77777777" w:rsidR="009941FB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genu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985465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85465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872946">
              <w:rPr>
                <w:color w:val="000000" w:themeColor="text1"/>
                <w:sz w:val="20"/>
                <w:szCs w:val="20"/>
              </w:rPr>
              <w:t>niedr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NOS;</w:t>
            </w:r>
          </w:p>
          <w:p w14:paraId="7CB8A1D2" w14:textId="77777777" w:rsidR="00A00A9A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5224FE68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ob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040C534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radioterapia)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FDA4B88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490931E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0-</w:t>
            </w:r>
            <w:r w:rsidR="00996B4B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96260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6968E9B2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8DA3EFB" w14:textId="77777777" w:rsidR="00902E9F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1,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67AF23E9" w14:textId="77777777" w:rsidR="00D96260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5017DE2" w14:textId="77777777" w:rsidR="00D96260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A00A9A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5471194" w14:textId="77777777" w:rsidR="00C65BDE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00AA1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A" w:rsidRPr="00872946">
              <w:rPr>
                <w:color w:val="000000" w:themeColor="text1"/>
                <w:sz w:val="20"/>
                <w:szCs w:val="20"/>
              </w:rPr>
              <w:t>o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27A49BB" w14:textId="77777777" w:rsidR="00A94562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586B8B82" w14:textId="7777777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30D3EEBE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D7AB3CF" w14:textId="77777777" w:rsidR="00B12EE1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9" w:name="_Hlk121831445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typie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gruczołowym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wcześniejszej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immunoterapii,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chemioimmunoterapii</w:t>
            </w:r>
            <w:proofErr w:type="spellEnd"/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proofErr w:type="spellEnd"/>
          </w:p>
          <w:bookmarkEnd w:id="9"/>
          <w:p w14:paraId="7750DC4B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420301D" w14:textId="77777777" w:rsidR="00073506" w:rsidRPr="00872946" w:rsidRDefault="00073506" w:rsidP="00E5079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0" w:name="_Hlk121831485"/>
            <w:r w:rsidRPr="00872946">
              <w:rPr>
                <w:color w:val="000000" w:themeColor="text1"/>
                <w:sz w:val="20"/>
                <w:szCs w:val="20"/>
              </w:rPr>
              <w:t xml:space="preserve">wykluczenie obecności mutacji w genie 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genów 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i 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bookmarkEnd w:id="10"/>
          <w:p w14:paraId="11E2C6F1" w14:textId="77777777" w:rsidR="00A00A9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43F6CF83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E83A4C3" w14:textId="77777777" w:rsidR="00A00A9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4B54B451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B965B6D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0-</w:t>
            </w:r>
            <w:r w:rsidR="00CE5C11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5072A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223E0977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(ze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szczególnym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uwzględnieniem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nadciśnienia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tętniczego);</w:t>
            </w:r>
          </w:p>
          <w:p w14:paraId="40FDDBCB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zakrzepowo-zatorowej;</w:t>
            </w:r>
          </w:p>
          <w:p w14:paraId="65E5D21C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ukła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CBA746F" w14:textId="77777777" w:rsidR="008D234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8D234A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8118E41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69E1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69E1" w:rsidRPr="00872946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75072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48B3BD7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wcześniejszego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0017" w:rsidRPr="00872946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EF0017" w:rsidRPr="00872946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antyangiogennych;</w:t>
            </w:r>
          </w:p>
          <w:p w14:paraId="5C8373FB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3A054BF6" w14:textId="7777777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83FE5CB" w14:textId="77777777" w:rsidR="001C0A4D" w:rsidRPr="00872946" w:rsidRDefault="001C0A4D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65F9D40" w14:textId="77777777" w:rsidR="001C0A4D" w:rsidRPr="00872946" w:rsidRDefault="00DC6735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1C0A4D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horych na </w:t>
            </w:r>
            <w:proofErr w:type="spellStart"/>
            <w:r w:rsidR="001C0A4D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C0A4D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niepowodzeniu co najmniej jednej wcześniejszej linii leczenia systemowego</w:t>
            </w:r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(immunoterapia lub </w:t>
            </w:r>
            <w:proofErr w:type="spellStart"/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lub chemioterapia z </w:t>
            </w:r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zastosowaniem związków platyny)</w:t>
            </w:r>
            <w:r w:rsidRPr="00872946"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z mutacją G12C w genie KRAS</w:t>
            </w:r>
            <w:r w:rsidR="009603E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z zastosowaniem </w:t>
            </w:r>
            <w:proofErr w:type="spellStart"/>
            <w:r w:rsidR="009603E3" w:rsidRPr="00872946">
              <w:rPr>
                <w:b/>
                <w:bCs/>
                <w:color w:val="000000" w:themeColor="text1"/>
                <w:sz w:val="20"/>
                <w:szCs w:val="20"/>
              </w:rPr>
              <w:t>sotorasibu</w:t>
            </w:r>
            <w:proofErr w:type="spellEnd"/>
          </w:p>
          <w:p w14:paraId="5D206781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ozpoznanie histologiczne lub cytologiczne:</w:t>
            </w:r>
          </w:p>
          <w:p w14:paraId="3F2FB61A" w14:textId="77777777" w:rsidR="001C0A4D" w:rsidRPr="00872946" w:rsidRDefault="001C0A4D" w:rsidP="00E5079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raka gruczołowego lub raka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z przewagą raka gruczołowego,</w:t>
            </w:r>
          </w:p>
          <w:p w14:paraId="2469CF0D" w14:textId="77777777" w:rsidR="001C0A4D" w:rsidRPr="00872946" w:rsidRDefault="001C0A4D" w:rsidP="00E5079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 wielkokomórkowego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A38E3C4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becność mutacji G12C w genie KRAS (ang.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Kirsten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rat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sarcoma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virus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– KRAS) potwierdzona z wykorzystaniem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438698F7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topień zaawansowania klinicznego IV (stadium uogólnienia) lub III z brakiem możliwości przeprowadzenie leczenia radykalnego (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, radioterapia, chirurgia);</w:t>
            </w:r>
          </w:p>
          <w:p w14:paraId="1DA70F81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becność zmian umożliwiających przeprowadzenie obiektywnej oceny odpowiedzi w badaniach obrazowych z zastosowaniem kryteriów oceny aktualnie obowiązującego systemu RECIST (ang.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in solid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) lub obecność policzalnych zmian niemierzalnych;</w:t>
            </w:r>
          </w:p>
          <w:p w14:paraId="2D0A7E30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ieobecność objawowych przerzutów w ośrodkowym układzie nerwowym lub cech progresji przerzutów w ośrodkowym układzie nerwowym u chorych po wcześniejszym leczeniu miejscowym (chirurgia, radioterapia);</w:t>
            </w:r>
          </w:p>
          <w:p w14:paraId="0697C55E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iek powyżej 18 roku życia;</w:t>
            </w:r>
          </w:p>
          <w:p w14:paraId="077B5708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tan sprawności w stopniu 0-2 wg klasyfikacji WHO lub ECOG;</w:t>
            </w:r>
          </w:p>
          <w:p w14:paraId="21C68402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ieobecność istotnych klinicznie i niekontrolowanych stosowanym leczeniem farmakologicznym chorób współwystępujących;</w:t>
            </w:r>
          </w:p>
          <w:p w14:paraId="57C2F9BF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zynność układu krwiotwórczego umożliwiająca leczenie zgodnie z aktualną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DF3F6FD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zynność nerek i wątroby umożliwiająca leczenie zgodnie z aktualną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357499C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sotorasibu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określonych 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br/>
              <w:t xml:space="preserve">w aktualnej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6AFCFB3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ykluczenie jednoczesnego stosowania chemioterapii oraz innych leków ukierunkowanych molekularnie;</w:t>
            </w:r>
          </w:p>
          <w:p w14:paraId="21BFBA54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ykluczenie współwystępowania innych nowotworów złośliwych </w:t>
            </w:r>
            <w:r w:rsidR="001C0A4D" w:rsidRPr="00872946">
              <w:rPr>
                <w:sz w:val="20"/>
                <w:szCs w:val="20"/>
              </w:rPr>
              <w:t>niekontrolowanych leczeniem;</w:t>
            </w:r>
          </w:p>
          <w:p w14:paraId="535BFA1D" w14:textId="77777777" w:rsidR="001C0A4D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A96FCF6" w14:textId="77777777" w:rsidR="00932263" w:rsidRPr="00872946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5D731559" w14:textId="77777777" w:rsidR="003D5D8F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zaawansowanego,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nieoperacyjnego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konsolidującego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durwalumabem</w:t>
            </w:r>
            <w:proofErr w:type="spellEnd"/>
          </w:p>
          <w:p w14:paraId="2306E913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B284D66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kliniczne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chorzy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radykalnej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342E378B" w14:textId="77777777" w:rsidR="00312335" w:rsidRPr="00872946" w:rsidRDefault="000934B2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brak 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stan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potwierdzony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(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wykonanym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zakończeni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radioterapii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)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C15A224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031BD0" w:rsidRPr="00872946">
              <w:rPr>
                <w:color w:val="000000" w:themeColor="text1"/>
                <w:sz w:val="20"/>
                <w:szCs w:val="20"/>
              </w:rPr>
              <w:t>t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0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-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872946">
              <w:rPr>
                <w:color w:val="000000" w:themeColor="text1"/>
                <w:sz w:val="20"/>
                <w:szCs w:val="20"/>
              </w:rPr>
              <w:t>-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14FA2655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5B9D4A0B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C2E668E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cukrzyc</w:t>
            </w:r>
            <w:r w:rsidR="00AC513B" w:rsidRPr="00872946">
              <w:rPr>
                <w:color w:val="000000" w:themeColor="text1"/>
                <w:sz w:val="20"/>
                <w:szCs w:val="20"/>
              </w:rPr>
              <w:t>y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5B213844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4786B03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390728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AAE118E" w14:textId="77777777" w:rsidR="00312335" w:rsidRPr="00872946" w:rsidRDefault="00031BD0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2E448A8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C65BDE" w:rsidRPr="00872946">
              <w:rPr>
                <w:sz w:val="20"/>
                <w:szCs w:val="20"/>
              </w:rPr>
              <w:t>.</w:t>
            </w:r>
          </w:p>
          <w:p w14:paraId="4AC4273A" w14:textId="7777777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6221BFDF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3CACC1E" w14:textId="77777777" w:rsidR="009D34EA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fazie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indukcji)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(w skojarzeniu z pochodną platyny (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) i 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w fazie indukcji)</w:t>
            </w:r>
          </w:p>
          <w:p w14:paraId="56056946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24DE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8A47C1F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kliniczne: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rozległej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extensive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stage</w:t>
            </w:r>
            <w:proofErr w:type="spellEnd"/>
            <w:r w:rsidR="00C463D3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VA</w:t>
            </w:r>
            <w:r w:rsidR="00324DE6" w:rsidRPr="00872946">
              <w:rPr>
                <w:color w:val="000000" w:themeColor="text1"/>
                <w:sz w:val="20"/>
                <w:szCs w:val="20"/>
              </w:rPr>
              <w:t>S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LG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zaawansowan</w:t>
            </w:r>
            <w:r w:rsidR="0042677B" w:rsidRPr="00872946">
              <w:rPr>
                <w:color w:val="000000" w:themeColor="text1"/>
                <w:sz w:val="20"/>
                <w:szCs w:val="20"/>
              </w:rPr>
              <w:t>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TNM</w:t>
            </w:r>
            <w:r w:rsidR="00324DE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93A74FF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2A73C44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0464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4BFF08B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872946">
              <w:rPr>
                <w:color w:val="000000" w:themeColor="text1"/>
                <w:sz w:val="20"/>
                <w:szCs w:val="20"/>
              </w:rPr>
              <w:t>-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127BD74C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3FF2712" w14:textId="77777777" w:rsidR="002175BC" w:rsidRPr="00872946" w:rsidRDefault="004619B3" w:rsidP="00E50798">
            <w:pPr>
              <w:pStyle w:val="Akapitzlist"/>
              <w:numPr>
                <w:ilvl w:val="3"/>
                <w:numId w:val="42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wyjątkiem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cukrzyc,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łuszczycy,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wyprysku,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liszaja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płaskiego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5E8ABAAC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zastosowania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odpowiednia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czynność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B285039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390728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sz w:val="20"/>
                <w:szCs w:val="20"/>
              </w:rPr>
              <w:t>ChPL</w:t>
            </w:r>
            <w:proofErr w:type="spellEnd"/>
            <w:r w:rsidR="00135BA3" w:rsidRPr="00872946">
              <w:rPr>
                <w:sz w:val="20"/>
                <w:szCs w:val="20"/>
              </w:rPr>
              <w:t>;</w:t>
            </w:r>
          </w:p>
          <w:p w14:paraId="249A583A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E81968" w:rsidRPr="00872946">
              <w:rPr>
                <w:color w:val="000000" w:themeColor="text1"/>
                <w:sz w:val="20"/>
                <w:szCs w:val="20"/>
              </w:rPr>
              <w:t xml:space="preserve"> 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81968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sz w:val="20"/>
                <w:szCs w:val="20"/>
              </w:rPr>
              <w:t>ChPL</w:t>
            </w:r>
            <w:proofErr w:type="spellEnd"/>
            <w:r w:rsidR="0088061E" w:rsidRPr="00872946">
              <w:rPr>
                <w:sz w:val="20"/>
                <w:szCs w:val="20"/>
              </w:rPr>
              <w:t>;</w:t>
            </w:r>
          </w:p>
          <w:p w14:paraId="5037616A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7A1101F" w14:textId="77777777" w:rsidR="009D34EA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8F475B0" w14:textId="77777777" w:rsidR="000D15A4" w:rsidRPr="00872946" w:rsidRDefault="000D15A4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553C7AA" w14:textId="77777777" w:rsidR="00932263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opłucnej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systemowemu)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ipilimumabu</w:t>
            </w:r>
            <w:proofErr w:type="spellEnd"/>
          </w:p>
          <w:p w14:paraId="0A1F9FCD" w14:textId="77777777" w:rsidR="000D15A4" w:rsidRPr="00872946" w:rsidRDefault="00372E3E" w:rsidP="00E50798">
            <w:pPr>
              <w:pStyle w:val="Akapitzlist"/>
              <w:numPr>
                <w:ilvl w:val="3"/>
                <w:numId w:val="43"/>
              </w:numPr>
              <w:tabs>
                <w:tab w:val="left" w:pos="284"/>
              </w:tabs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r</w:t>
            </w:r>
            <w:r w:rsidR="000D15A4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sz w:val="20"/>
                <w:szCs w:val="20"/>
              </w:rPr>
              <w:t>międzybłoniak</w:t>
            </w:r>
            <w:r w:rsidR="00537DF7" w:rsidRPr="00872946">
              <w:rPr>
                <w:sz w:val="20"/>
                <w:szCs w:val="20"/>
              </w:rPr>
              <w:t>a</w:t>
            </w:r>
            <w:proofErr w:type="spellEnd"/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opłucnej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niekwalifikując</w:t>
            </w:r>
            <w:r w:rsidR="000F013D" w:rsidRPr="00872946">
              <w:rPr>
                <w:sz w:val="20"/>
                <w:szCs w:val="20"/>
              </w:rPr>
              <w:t>ego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się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do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leczenia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radykalnego;</w:t>
            </w:r>
          </w:p>
          <w:p w14:paraId="7A42232E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2472C6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564CA641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5592DFE8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EA4AE61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2472C6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0EC2BD0C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5FDB27EF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ni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1,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7597ECF7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c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06AA435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4862D4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62A756B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sz w:val="20"/>
                <w:szCs w:val="20"/>
              </w:rPr>
              <w:t>ipilimumabu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5E786DA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</w:t>
            </w:r>
            <w:r w:rsidR="004862D4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leczeniem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2E2D3223" w14:textId="77777777" w:rsidR="004862D4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16E9337F" w14:textId="77777777" w:rsidR="00AC3F68" w:rsidRPr="00872946" w:rsidRDefault="00AC3F68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61C58057" w14:textId="4E99C3C0" w:rsidR="00AC3F68" w:rsidRDefault="00CD44FB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CD44FB">
              <w:rPr>
                <w:color w:val="000000" w:themeColor="text1"/>
                <w:sz w:val="20"/>
                <w:szCs w:val="20"/>
              </w:rPr>
              <w:t>Ponadto do programu lekowego kwalifikowani są również pacjenci, którzy byli leczeni substancjami czynnymi finansowanymi w programie lekowym w ramach innego sposobu finansowania terapii, w celu zapewnienia kontynuacji leczenia, pod warunkiem że w chwili rozpoczęcia leczenia spełniali kryteria kwalifikacji do tego programu lekowego oraz nie spełniali kryteriów wyłączenia wskazanych w pkt 3, a łączny czas leczenia od rozpoczęcia terapii nie jest dłuższy niż wskazano w pkt 2.</w:t>
            </w:r>
          </w:p>
          <w:p w14:paraId="237BE6F8" w14:textId="77777777" w:rsidR="00CD44FB" w:rsidRPr="00872946" w:rsidRDefault="00CD44FB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70D97F9D" w14:textId="77777777" w:rsidR="009D34EA" w:rsidRPr="00872946" w:rsidRDefault="009D34EA" w:rsidP="00E5079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1" w:name="_Hlk121818864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bookmarkEnd w:id="11"/>
          <w:p w14:paraId="6301AD75" w14:textId="77777777" w:rsidR="0054669A" w:rsidRPr="00872946" w:rsidRDefault="00E640A9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b/>
                <w:bCs/>
                <w:color w:val="000000" w:themeColor="text1"/>
                <w:sz w:val="20"/>
                <w:szCs w:val="20"/>
              </w:rPr>
              <w:t>kinazy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tyrozynowej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3179CA" w:rsidRPr="00872946">
              <w:rPr>
                <w:b/>
                <w:bCs/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3179CA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71F53" w:rsidRPr="00872946">
              <w:rPr>
                <w:b/>
                <w:bCs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071F53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A13C9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0A765E" w:rsidRPr="00872946">
              <w:rPr>
                <w:b/>
                <w:bCs/>
                <w:color w:val="000000" w:themeColor="text1"/>
                <w:sz w:val="20"/>
                <w:szCs w:val="20"/>
              </w:rPr>
              <w:t>ALK/</w:t>
            </w:r>
            <w:r w:rsidR="00E00AA1" w:rsidRPr="00872946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7A55E8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4D6" w:rsidRPr="00872946">
              <w:rPr>
                <w:b/>
                <w:bCs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0E34D6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A55E8" w:rsidRPr="00872946">
              <w:rPr>
                <w:b/>
                <w:bCs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D63DE0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3541" w:rsidRPr="00872946">
              <w:rPr>
                <w:b/>
                <w:bCs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484592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872946">
              <w:rPr>
                <w:b/>
                <w:bCs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4449" w:rsidRPr="00872946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55B15" w:rsidRPr="00872946">
              <w:rPr>
                <w:b/>
                <w:bCs/>
                <w:color w:val="000000" w:themeColor="text1"/>
                <w:sz w:val="20"/>
                <w:szCs w:val="20"/>
              </w:rPr>
              <w:t>lub inhibitor KRAS (</w:t>
            </w:r>
            <w:proofErr w:type="spellStart"/>
            <w:r w:rsidR="00D55B15" w:rsidRPr="00872946">
              <w:rPr>
                <w:b/>
                <w:bCs/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D55B15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5268526C" w14:textId="77777777" w:rsidR="006570B2" w:rsidRPr="00872946" w:rsidRDefault="008B709D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072EC8D0" w14:textId="77777777" w:rsidR="008B709D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2" w:name="_Hlk121834554"/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anty-EGFR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872946">
              <w:rPr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1F356C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="001F356C" w:rsidRPr="00872946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rt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drugiej</w:t>
            </w:r>
            <w:r w:rsidR="00C94C36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4C36" w:rsidRPr="00872946">
              <w:rPr>
                <w:color w:val="000000" w:themeColor="text1"/>
                <w:sz w:val="20"/>
                <w:szCs w:val="20"/>
              </w:rPr>
              <w:t>trzeciej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color w:val="000000" w:themeColor="text1"/>
                <w:sz w:val="20"/>
                <w:szCs w:val="20"/>
              </w:rPr>
              <w:t>kolejnych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872946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rt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anty-ROS1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anty-ALK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872946">
              <w:rPr>
                <w:color w:val="000000" w:themeColor="text1"/>
                <w:sz w:val="20"/>
                <w:szCs w:val="20"/>
              </w:rPr>
              <w:t>inhibitor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24449" w:rsidRPr="00872946">
              <w:rPr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04CE9" w:rsidRPr="00872946">
              <w:rPr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F04CE9" w:rsidRPr="00872946">
              <w:rPr>
                <w:color w:val="000000" w:themeColor="text1"/>
                <w:sz w:val="20"/>
                <w:szCs w:val="20"/>
              </w:rPr>
              <w:t>)</w:t>
            </w:r>
            <w:r w:rsidR="001749B7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1749B7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749B7" w:rsidRPr="00872946">
              <w:t xml:space="preserve"> 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anty-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KRAS w 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drugiej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i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kolejnej 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lastRenderedPageBreak/>
              <w:t>linii leczenia</w:t>
            </w:r>
            <w:r w:rsidR="009B429A" w:rsidRPr="00872946">
              <w:t xml:space="preserve"> (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>)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8DA834B" w14:textId="77777777" w:rsidR="00D34D5E" w:rsidRPr="00872946" w:rsidRDefault="00D34D5E" w:rsidP="00E50798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3" w:name="_Hlk121831659"/>
            <w:r w:rsidRPr="00872946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ramach leczenia uzupełniającego po leczeniu chirurgicznym jest prowadzone do stwierdzenia nawrotu choroby lub wystąpienia działań niepożądanych uniemożliwiających kontynuację leczenia lub maksymalnie przez 36 miesięcy. Podczas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możliwe jest okresowe przerwanie leczenia zgodnie z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bookmarkEnd w:id="13"/>
          <w:p w14:paraId="61EBA2C5" w14:textId="77777777" w:rsidR="004A07A7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now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EGFR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zasto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so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450B8" w:rsidRPr="00872946">
              <w:rPr>
                <w:color w:val="000000" w:themeColor="text1"/>
                <w:sz w:val="20"/>
                <w:szCs w:val="20"/>
              </w:rPr>
              <w:t xml:space="preserve"> stereotaktyczna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872946">
              <w:rPr>
                <w:color w:val="000000" w:themeColor="text1"/>
                <w:sz w:val="20"/>
                <w:szCs w:val="20"/>
              </w:rPr>
              <w:t>chirurgia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);</w:t>
            </w:r>
          </w:p>
          <w:bookmarkEnd w:id="12"/>
          <w:p w14:paraId="27D04732" w14:textId="77777777" w:rsidR="00D1218F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EGFR,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7C4804A7" w14:textId="77777777" w:rsidR="008B709D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71E78369" w14:textId="77777777" w:rsidR="008B709D" w:rsidRPr="00872946" w:rsidRDefault="008B709D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45E9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59A94004" w14:textId="77777777" w:rsidR="008B709D" w:rsidRPr="00872946" w:rsidRDefault="008B709D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4D09B072" w14:textId="77777777" w:rsidR="008B709D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:</w:t>
            </w:r>
          </w:p>
          <w:p w14:paraId="07C2DAD6" w14:textId="77777777" w:rsidR="00E640A9" w:rsidRPr="00872946" w:rsidRDefault="00915C5C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5951F9EA" w14:textId="77777777" w:rsidR="00DA65B7" w:rsidRPr="00872946" w:rsidRDefault="0063308B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z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699C" w:rsidRPr="00872946">
              <w:rPr>
                <w:color w:val="000000" w:themeColor="text1"/>
                <w:sz w:val="20"/>
                <w:szCs w:val="20"/>
              </w:rPr>
              <w:t>(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872946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872946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872946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PET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)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38ED6C5C" w14:textId="77777777" w:rsidR="004405D9" w:rsidRPr="00872946" w:rsidRDefault="004405D9" w:rsidP="00E50798">
            <w:pPr>
              <w:autoSpaceDE w:val="0"/>
              <w:autoSpaceDN w:val="0"/>
              <w:adjustRightInd w:val="0"/>
              <w:ind w:left="681" w:hanging="454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0762E3E9" w14:textId="77777777" w:rsidR="009D203F" w:rsidRPr="000C3D3E" w:rsidRDefault="00CC2BF0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4" w:name="_Hlk124868092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872946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0C3D3E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0C3D3E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0C3D3E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D02EBC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D02EBC" w:rsidRPr="000C3D3E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D02EBC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chemioterapią opartą na związkach platyny,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C3D3E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0F013D" w:rsidRPr="000C3D3E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0C3D3E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C3D3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C3D3E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C3D3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0C3D3E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CF6C5A" w:rsidRPr="000C3D3E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0C77B9" w:rsidRPr="000C3D3E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0C3D3E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0C3D3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0C3D3E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4"/>
          <w:p w14:paraId="77CE16FE" w14:textId="77777777" w:rsidR="0054669A" w:rsidRPr="00872946" w:rsidRDefault="00CC2BF0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C3D3E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0C3D3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3D3E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3854F4B4" w14:textId="77777777" w:rsidR="00584AF5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sz w:val="20"/>
                <w:szCs w:val="20"/>
              </w:rPr>
              <w:t>inhibitorów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D3A42" w:rsidRPr="00872946">
              <w:rPr>
                <w:sz w:val="20"/>
                <w:szCs w:val="20"/>
              </w:rPr>
              <w:t>immunologicznych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D3A42" w:rsidRPr="00872946">
              <w:rPr>
                <w:sz w:val="20"/>
                <w:szCs w:val="20"/>
              </w:rPr>
              <w:t>punktów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D3A42" w:rsidRPr="00872946">
              <w:rPr>
                <w:sz w:val="20"/>
                <w:szCs w:val="20"/>
              </w:rPr>
              <w:t>kontrolnych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84AF5" w:rsidRPr="00872946">
              <w:rPr>
                <w:sz w:val="20"/>
                <w:szCs w:val="20"/>
              </w:rPr>
              <w:t>(</w:t>
            </w:r>
            <w:proofErr w:type="spellStart"/>
            <w:r w:rsidR="00584AF5" w:rsidRPr="00872946">
              <w:rPr>
                <w:sz w:val="20"/>
                <w:szCs w:val="20"/>
              </w:rPr>
              <w:t>pembrolizumab</w:t>
            </w:r>
            <w:proofErr w:type="spellEnd"/>
            <w:r w:rsidR="00584AF5" w:rsidRPr="00872946">
              <w:rPr>
                <w:sz w:val="20"/>
                <w:szCs w:val="20"/>
              </w:rPr>
              <w:t>,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584AF5" w:rsidRPr="00872946">
              <w:rPr>
                <w:sz w:val="20"/>
                <w:szCs w:val="20"/>
              </w:rPr>
              <w:t>niwolumab</w:t>
            </w:r>
            <w:proofErr w:type="spellEnd"/>
            <w:r w:rsidR="00584AF5" w:rsidRPr="00872946">
              <w:rPr>
                <w:sz w:val="20"/>
                <w:szCs w:val="20"/>
              </w:rPr>
              <w:t>,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F13C15" w:rsidRPr="00872946">
              <w:rPr>
                <w:bCs/>
                <w:sz w:val="20"/>
                <w:szCs w:val="20"/>
              </w:rPr>
              <w:t>ipilimumab</w:t>
            </w:r>
            <w:proofErr w:type="spellEnd"/>
            <w:r w:rsidR="00F13C15" w:rsidRPr="00872946">
              <w:rPr>
                <w:bCs/>
                <w:sz w:val="20"/>
                <w:szCs w:val="20"/>
              </w:rPr>
              <w:t>,</w:t>
            </w:r>
            <w:r w:rsidR="00372E3E" w:rsidRPr="0087294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766E9A" w:rsidRPr="00872946">
              <w:rPr>
                <w:bCs/>
                <w:sz w:val="20"/>
                <w:szCs w:val="20"/>
              </w:rPr>
              <w:t>cemiplimab</w:t>
            </w:r>
            <w:proofErr w:type="spellEnd"/>
            <w:r w:rsidR="00766E9A" w:rsidRPr="00872946">
              <w:rPr>
                <w:b/>
                <w:sz w:val="20"/>
                <w:szCs w:val="20"/>
              </w:rPr>
              <w:t>,</w:t>
            </w:r>
            <w:r w:rsidR="00372E3E" w:rsidRPr="0087294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584AF5" w:rsidRPr="00872946">
              <w:rPr>
                <w:sz w:val="20"/>
                <w:szCs w:val="20"/>
              </w:rPr>
              <w:t>atezolizumab</w:t>
            </w:r>
            <w:proofErr w:type="spellEnd"/>
            <w:r w:rsidR="00584AF5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E3C5C8E" w14:textId="77777777" w:rsidR="000602E8" w:rsidRPr="00872946" w:rsidRDefault="000602E8" w:rsidP="00E50798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ramach leczenia uzupełniającego po radykalnej resekcji i pooperacyjnej chemioterapii obejmuje okres 1 roku lub do stwierdzenia 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nawrotu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choroby lub wystąpienia </w:t>
            </w:r>
            <w:r w:rsidR="00710B78" w:rsidRPr="00872946">
              <w:rPr>
                <w:color w:val="000000" w:themeColor="text1"/>
                <w:sz w:val="20"/>
                <w:szCs w:val="20"/>
              </w:rPr>
              <w:t xml:space="preserve">poważnych </w:t>
            </w:r>
            <w:r w:rsidRPr="00872946">
              <w:rPr>
                <w:color w:val="000000" w:themeColor="text1"/>
                <w:sz w:val="20"/>
                <w:szCs w:val="20"/>
              </w:rPr>
              <w:t>działań niepożądanych uniemożliwiających kontynuację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CB79225" w14:textId="77777777" w:rsidR="008D0564" w:rsidRPr="00872946" w:rsidRDefault="008D0564" w:rsidP="00E50798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skojarzeniu z chemioterapią w ramach 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leczenia wstępnego, u chorych kwalifikujących się do radykalnej resekcji chirurgicznej obejmuje 3 cykle leczenia lub 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jest </w:t>
            </w:r>
            <w:r w:rsidRPr="00872946">
              <w:rPr>
                <w:color w:val="000000" w:themeColor="text1"/>
                <w:sz w:val="20"/>
                <w:szCs w:val="20"/>
              </w:rPr>
              <w:t>kró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>tsze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w przypadku stwierdzenia progresji choroby lub wystąpienia poważnych działań niepożądanych uniemożliwiających kontynuację leczenia;</w:t>
            </w:r>
          </w:p>
          <w:p w14:paraId="096E7820" w14:textId="77777777" w:rsidR="00CE74E1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6E031F91" w14:textId="77777777" w:rsidR="00CE74E1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lastRenderedPageBreak/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chirurgia);</w:t>
            </w:r>
            <w:r w:rsidR="00B15A3A" w:rsidRPr="00872946">
              <w:rPr>
                <w:color w:val="000000" w:themeColor="text1"/>
                <w:sz w:val="20"/>
                <w:szCs w:val="20"/>
              </w:rPr>
              <w:t xml:space="preserve"> nie dotyczy </w:t>
            </w:r>
            <w:proofErr w:type="spellStart"/>
            <w:r w:rsidR="00B15A3A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B15A3A" w:rsidRPr="00872946">
              <w:rPr>
                <w:color w:val="000000" w:themeColor="text1"/>
                <w:sz w:val="20"/>
                <w:szCs w:val="20"/>
              </w:rPr>
              <w:t xml:space="preserve"> stosowanego w ramach uzupełniającego leczenia pooperacyjnego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F65DFD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 stosowanego przedoperacyjnie</w:t>
            </w:r>
            <w:r w:rsidR="00B15A3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8DEE382" w14:textId="77777777" w:rsidR="00584AF5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69CAA001" w14:textId="77777777" w:rsidR="00584AF5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1D6945E5" w14:textId="77777777" w:rsidR="00584AF5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6AAB1B82" w14:textId="77777777" w:rsidR="00584AF5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RECIST:</w:t>
            </w:r>
          </w:p>
          <w:p w14:paraId="414B48B5" w14:textId="77777777" w:rsidR="00584AF5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0031129D" w14:textId="77777777" w:rsidR="009C41F9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PET</w:t>
            </w:r>
            <w:r w:rsidRPr="00872946">
              <w:rPr>
                <w:color w:val="000000" w:themeColor="text1"/>
                <w:sz w:val="20"/>
                <w:szCs w:val="20"/>
              </w:rPr>
              <w:t>)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5A3AFC1" w14:textId="77777777" w:rsidR="004862D4" w:rsidRPr="00872946" w:rsidRDefault="004619B3" w:rsidP="00E50798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przypadku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466EE" w:rsidRPr="00872946">
              <w:rPr>
                <w:sz w:val="20"/>
                <w:szCs w:val="20"/>
              </w:rPr>
              <w:t>leczenia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872946">
              <w:rPr>
                <w:sz w:val="20"/>
                <w:szCs w:val="20"/>
              </w:rPr>
              <w:t>atezolizumabem</w:t>
            </w:r>
            <w:proofErr w:type="spellEnd"/>
            <w:r w:rsidR="00C72CF0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drobnokomórkowym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raku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płuca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dopuszcza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się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profilaktyczną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radioterapię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OUN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trakcie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stosowania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872946">
              <w:rPr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fazie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leczenia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podtrzymującego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E62CD" w:rsidRPr="00872946">
              <w:rPr>
                <w:sz w:val="20"/>
                <w:szCs w:val="20"/>
              </w:rPr>
              <w:t>(</w:t>
            </w:r>
            <w:proofErr w:type="spellStart"/>
            <w:r w:rsidR="00AE62CD" w:rsidRPr="00872946">
              <w:rPr>
                <w:sz w:val="20"/>
                <w:szCs w:val="20"/>
              </w:rPr>
              <w:t>monoterapia</w:t>
            </w:r>
            <w:proofErr w:type="spellEnd"/>
            <w:r w:rsidR="00AE62CD" w:rsidRPr="00872946">
              <w:rPr>
                <w:sz w:val="20"/>
                <w:szCs w:val="20"/>
              </w:rPr>
              <w:t>)</w:t>
            </w:r>
            <w:r w:rsidR="00764863" w:rsidRPr="00872946">
              <w:rPr>
                <w:sz w:val="20"/>
                <w:szCs w:val="20"/>
              </w:rPr>
              <w:t>;</w:t>
            </w:r>
          </w:p>
          <w:p w14:paraId="239A6B17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760B0979" w14:textId="77777777" w:rsidR="009C41F9" w:rsidRPr="00872946" w:rsidRDefault="009C41F9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5" w:name="_Hlk121831920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872946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</w:t>
            </w:r>
            <w:r w:rsidR="00122901" w:rsidRPr="00872946">
              <w:rPr>
                <w:b/>
                <w:bCs/>
                <w:color w:val="000000" w:themeColor="text1"/>
                <w:sz w:val="20"/>
                <w:szCs w:val="20"/>
              </w:rPr>
              <w:t>urwalumab</w:t>
            </w:r>
            <w:proofErr w:type="spellEnd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5"/>
          <w:p w14:paraId="20776909" w14:textId="77777777" w:rsidR="006606D5" w:rsidRPr="00872946" w:rsidRDefault="006606D5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20053E56" w14:textId="77777777" w:rsidR="00135BA3" w:rsidRPr="00872946" w:rsidRDefault="004619B3" w:rsidP="00E50798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konsolidującym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627E" w:rsidRPr="00872946">
              <w:rPr>
                <w:color w:val="000000" w:themeColor="text1"/>
                <w:sz w:val="20"/>
                <w:szCs w:val="20"/>
              </w:rPr>
              <w:t>(pkt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1F31" w:rsidRPr="00872946">
              <w:rPr>
                <w:color w:val="000000" w:themeColor="text1"/>
                <w:sz w:val="20"/>
                <w:szCs w:val="20"/>
              </w:rPr>
              <w:t>1.</w:t>
            </w:r>
            <w:r w:rsidR="00124B3A" w:rsidRPr="00872946">
              <w:rPr>
                <w:color w:val="000000" w:themeColor="text1"/>
                <w:sz w:val="20"/>
                <w:szCs w:val="20"/>
              </w:rPr>
              <w:t>1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0</w:t>
            </w:r>
            <w:r w:rsidR="000D627E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nieakceptowalnej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maksymalnie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12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miesięcy.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lastRenderedPageBreak/>
              <w:t>Podczas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możliwe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okresowe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przerwanie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sz w:val="20"/>
                <w:szCs w:val="20"/>
              </w:rPr>
              <w:t>ChPL</w:t>
            </w:r>
            <w:proofErr w:type="spellEnd"/>
            <w:r w:rsidR="00135BA3" w:rsidRPr="00872946">
              <w:rPr>
                <w:sz w:val="20"/>
                <w:szCs w:val="20"/>
              </w:rPr>
              <w:t>;</w:t>
            </w:r>
          </w:p>
          <w:p w14:paraId="04352856" w14:textId="77777777" w:rsidR="00ED0234" w:rsidRPr="00872946" w:rsidRDefault="00ED0234" w:rsidP="00E50798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leczeniu drobnokomórkowego raka płuca (pkt 1.</w:t>
            </w:r>
            <w:r w:rsidR="00124B3A" w:rsidRPr="00872946">
              <w:rPr>
                <w:color w:val="000000" w:themeColor="text1"/>
                <w:sz w:val="20"/>
                <w:szCs w:val="20"/>
              </w:rPr>
              <w:t>1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1</w:t>
            </w:r>
            <w:r w:rsidRPr="00872946">
              <w:rPr>
                <w:color w:val="000000" w:themeColor="text1"/>
                <w:sz w:val="20"/>
                <w:szCs w:val="20"/>
              </w:rPr>
              <w:t>) jest prowadzone do stwierdzenia progresji choroby lub wystąpienia nieakceptowalnej toksyczności;</w:t>
            </w:r>
          </w:p>
          <w:p w14:paraId="06591C79" w14:textId="77777777" w:rsidR="004F4D27" w:rsidRPr="00872946" w:rsidRDefault="004619B3" w:rsidP="00E50798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23A60E66" w14:textId="77777777" w:rsidR="00ED0234" w:rsidRPr="00872946" w:rsidRDefault="00ED0234" w:rsidP="00E50798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leczeniu konsolidującym:</w:t>
            </w:r>
          </w:p>
          <w:p w14:paraId="34831AA0" w14:textId="77777777" w:rsidR="004F4D27" w:rsidRPr="00872946" w:rsidRDefault="004F4D27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0D2D32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24A12F1D" w14:textId="77777777" w:rsidR="000D2D32" w:rsidRPr="00872946" w:rsidRDefault="000D2D32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miesiące,</w:t>
            </w:r>
          </w:p>
          <w:p w14:paraId="56992DD8" w14:textId="77777777" w:rsidR="00ED0234" w:rsidRPr="00872946" w:rsidRDefault="00ED0234" w:rsidP="00E50798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leczeniu drobnokomórkowego raka płuca:</w:t>
            </w:r>
          </w:p>
          <w:p w14:paraId="4D80AE28" w14:textId="77777777" w:rsidR="004D13BF" w:rsidRPr="00872946" w:rsidRDefault="004D13BF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czasie leczenia łącznie z chemioterapią – przed trzecim (3.) cyklem leczenia,</w:t>
            </w:r>
          </w:p>
          <w:p w14:paraId="5CA60394" w14:textId="77777777" w:rsidR="004D13BF" w:rsidRPr="00872946" w:rsidRDefault="004D13BF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trakcie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– przed pierwszym (1.) cyklem i następnie co 3 cykle leczenia;</w:t>
            </w:r>
          </w:p>
          <w:p w14:paraId="67E436CE" w14:textId="77777777" w:rsidR="004F4D27" w:rsidRPr="00872946" w:rsidRDefault="004619B3" w:rsidP="00E50798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RECIST:</w:t>
            </w:r>
          </w:p>
          <w:p w14:paraId="39176835" w14:textId="77777777" w:rsidR="00C9090B" w:rsidRPr="00872946" w:rsidRDefault="004F4D27" w:rsidP="00E50798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nadbrzusza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52059E42" w14:textId="77777777" w:rsidR="004D13BF" w:rsidRPr="00872946" w:rsidRDefault="004D13BF" w:rsidP="00E50798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drobnokomórkowym raku płuca dopuszcza się profilaktyczną radioterapię OUN w trakcie stosowania </w:t>
            </w:r>
            <w:proofErr w:type="spellStart"/>
            <w:r w:rsidR="004C5F26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fazie leczenia podtrzymującego (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).</w:t>
            </w:r>
          </w:p>
          <w:p w14:paraId="3C951E1F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FB1646D" w14:textId="77777777" w:rsidR="0054669A" w:rsidRPr="00872946" w:rsidRDefault="000F5D97" w:rsidP="00E5079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6" w:name="_Hlk121832083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bookmarkEnd w:id="16"/>
          <w:p w14:paraId="13668949" w14:textId="77777777" w:rsidR="00595EC0" w:rsidRPr="00872946" w:rsidRDefault="004619B3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progresj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przedmiotowym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obrazowym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ocenion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kryterió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RECIST</w:t>
            </w:r>
          </w:p>
          <w:p w14:paraId="5FAD6745" w14:textId="77777777" w:rsidR="00CD69EE" w:rsidRPr="00872946" w:rsidRDefault="004619B3" w:rsidP="00E50798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ligoprogresja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E66F13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 xml:space="preserve"> inhibitorami EGFR, ALK, ROS1</w:t>
            </w:r>
            <w:r w:rsidR="00B85AE8" w:rsidRPr="00872946">
              <w:rPr>
                <w:color w:val="000000" w:themeColor="text1"/>
                <w:sz w:val="20"/>
                <w:szCs w:val="20"/>
              </w:rPr>
              <w:t>,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5AE8" w:rsidRPr="00872946">
              <w:rPr>
                <w:color w:val="000000" w:themeColor="text1"/>
                <w:sz w:val="20"/>
                <w:szCs w:val="20"/>
              </w:rPr>
              <w:t>KRAS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 xml:space="preserve"> 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(najczęściej</w:t>
            </w:r>
            <w:r w:rsidR="002900FC" w:rsidRPr="00872946">
              <w:rPr>
                <w:color w:val="000000" w:themeColor="text1"/>
                <w:sz w:val="20"/>
                <w:szCs w:val="20"/>
              </w:rPr>
              <w:t xml:space="preserve"> 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chirurgia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)</w:t>
            </w:r>
            <w:r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1A5FB349" w14:textId="77777777" w:rsidR="00CD69EE" w:rsidRPr="00872946" w:rsidRDefault="004619B3" w:rsidP="00E50798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ol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igoprogresja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5E44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061B3B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>inhibitorami EGFR, ALK, ROS1</w:t>
            </w:r>
            <w:r w:rsidR="00B85AE8" w:rsidRPr="00872946">
              <w:rPr>
                <w:color w:val="000000" w:themeColor="text1"/>
                <w:sz w:val="20"/>
                <w:szCs w:val="20"/>
              </w:rPr>
              <w:t>, KRAS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 xml:space="preserve"> oraz inhibitorami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chirurgia)</w:t>
            </w:r>
            <w:r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646DBC9A" w14:textId="77777777" w:rsidR="00CE74E1" w:rsidRPr="00872946" w:rsidRDefault="004619B3" w:rsidP="00E50798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owyższ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sytuacja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CE74E1" w:rsidRPr="00872946">
              <w:rPr>
                <w:color w:val="000000" w:themeColor="text1"/>
                <w:sz w:val="20"/>
                <w:szCs w:val="20"/>
              </w:rPr>
              <w:t>oligoprogresja</w:t>
            </w:r>
            <w:proofErr w:type="spellEnd"/>
            <w:r w:rsidR="00CE74E1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1E52" w:rsidRPr="00872946">
              <w:rPr>
                <w:color w:val="000000" w:themeColor="text1"/>
                <w:sz w:val="20"/>
                <w:szCs w:val="20"/>
              </w:rPr>
              <w:t xml:space="preserve">konsolidująco </w:t>
            </w:r>
            <w:proofErr w:type="spellStart"/>
            <w:r w:rsidR="00595EC0"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95EC0"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033673" w:rsidRPr="00872946">
              <w:rPr>
                <w:color w:val="000000" w:themeColor="text1"/>
                <w:sz w:val="20"/>
                <w:szCs w:val="20"/>
              </w:rPr>
              <w:t xml:space="preserve"> 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2110" w:rsidRPr="00872946">
              <w:rPr>
                <w:color w:val="000000" w:themeColor="text1"/>
                <w:sz w:val="20"/>
                <w:szCs w:val="20"/>
              </w:rPr>
              <w:t xml:space="preserve">raka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udziałem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4E1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C72CF0" w:rsidRPr="00872946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C72CF0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D243A7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oraz nie dotyczy chorych w ramach </w:t>
            </w:r>
            <w:r w:rsidR="00CD51AB" w:rsidRPr="00872946">
              <w:rPr>
                <w:color w:val="000000" w:themeColor="text1"/>
                <w:sz w:val="20"/>
                <w:szCs w:val="20"/>
              </w:rPr>
              <w:t xml:space="preserve">przedoperacyjnego leczenia wstępnego </w:t>
            </w:r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przed resekcją z zastosowaniem </w:t>
            </w:r>
            <w:proofErr w:type="spellStart"/>
            <w:r w:rsidR="008D0564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D243A7" w:rsidRPr="00872946">
              <w:rPr>
                <w:color w:val="000000" w:themeColor="text1"/>
                <w:sz w:val="20"/>
                <w:szCs w:val="20"/>
              </w:rPr>
              <w:t>jak również</w:t>
            </w:r>
            <w:r w:rsidR="00D243A7" w:rsidRPr="00872946">
              <w:t xml:space="preserve"> </w:t>
            </w:r>
            <w:r w:rsidR="00D243A7" w:rsidRPr="00872946">
              <w:rPr>
                <w:color w:val="000000" w:themeColor="text1"/>
                <w:sz w:val="20"/>
                <w:szCs w:val="20"/>
              </w:rPr>
              <w:t xml:space="preserve">nie dotyczy chorych w ramach uzupełniającego leczenia pooperacyjnego z zastosowaniem </w:t>
            </w:r>
            <w:proofErr w:type="spellStart"/>
            <w:r w:rsidR="00D243A7" w:rsidRPr="00872946">
              <w:rPr>
                <w:color w:val="000000" w:themeColor="text1"/>
                <w:sz w:val="20"/>
                <w:szCs w:val="20"/>
              </w:rPr>
              <w:t>atezolizumbu</w:t>
            </w:r>
            <w:proofErr w:type="spellEnd"/>
            <w:r w:rsidR="00C72CF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0E94BEA" w14:textId="77777777" w:rsidR="008B709D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(istotne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klinicznie)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przedmiotowym;</w:t>
            </w:r>
          </w:p>
          <w:p w14:paraId="71124664" w14:textId="77777777" w:rsidR="00C122EE" w:rsidRPr="00872946" w:rsidRDefault="00640206" w:rsidP="00E50798">
            <w:pPr>
              <w:pStyle w:val="Zwykytekst"/>
              <w:numPr>
                <w:ilvl w:val="3"/>
                <w:numId w:val="48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istotnej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niepożądanego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będącego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zagrożeniem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CB4A4C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5236A3B" w14:textId="77777777" w:rsidR="00C122EE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122EE" w:rsidRPr="00872946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wymagającej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obowiązując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35BA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AAF35AC" w14:textId="77777777" w:rsidR="008B709D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872946">
              <w:rPr>
                <w:color w:val="000000" w:themeColor="text1"/>
                <w:sz w:val="20"/>
                <w:szCs w:val="20"/>
              </w:rPr>
              <w:t>istotnej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nadwrażliwoś</w:t>
            </w:r>
            <w:r w:rsidR="008E0CAB" w:rsidRPr="00872946">
              <w:rPr>
                <w:color w:val="000000" w:themeColor="text1"/>
                <w:sz w:val="20"/>
                <w:szCs w:val="20"/>
              </w:rPr>
              <w:t>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substancję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4EAAD1F6" w14:textId="77777777" w:rsidR="008B709D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bniżenie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stop</w:t>
            </w:r>
            <w:r w:rsidR="008B709D" w:rsidRPr="002C4C78">
              <w:rPr>
                <w:color w:val="000000" w:themeColor="text1"/>
                <w:sz w:val="20"/>
                <w:szCs w:val="20"/>
              </w:rPr>
              <w:t>nia</w:t>
            </w:r>
            <w:r w:rsidR="00372E3E" w:rsidRPr="002C4C78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2C4C78">
              <w:rPr>
                <w:color w:val="000000" w:themeColor="text1"/>
                <w:sz w:val="20"/>
                <w:szCs w:val="20"/>
              </w:rPr>
              <w:t>3-4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135BA3" w:rsidRPr="00872946">
              <w:rPr>
                <w:color w:val="000000" w:themeColor="text1"/>
                <w:sz w:val="20"/>
                <w:szCs w:val="20"/>
              </w:rPr>
              <w:t>-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ECOG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A45B957" w14:textId="77777777" w:rsidR="005F2F62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rzerwa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EGF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R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ALK,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ROS1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000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immuno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12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wskutek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niepożądany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działa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ED5F5B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FE3F275" w14:textId="77777777" w:rsidR="005F2F62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życia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istotnym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znaczeniu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lekarza;</w:t>
            </w:r>
          </w:p>
          <w:p w14:paraId="56D940A7" w14:textId="77777777" w:rsidR="005F2F62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ycofanie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zgody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udział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programie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(rezygnacja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chorego)</w:t>
            </w:r>
            <w:r w:rsidR="00DE66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79231D0" w14:textId="77777777" w:rsidR="00C9090B" w:rsidRPr="00872946" w:rsidRDefault="00033673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upłynięcie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872946">
              <w:rPr>
                <w:color w:val="000000" w:themeColor="text1"/>
                <w:sz w:val="20"/>
                <w:szCs w:val="20"/>
              </w:rPr>
              <w:t>12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872946">
              <w:rPr>
                <w:color w:val="000000" w:themeColor="text1"/>
                <w:sz w:val="20"/>
                <w:szCs w:val="20"/>
              </w:rPr>
              <w:t>miesięcznego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872946">
              <w:rPr>
                <w:color w:val="000000" w:themeColor="text1"/>
                <w:sz w:val="20"/>
                <w:szCs w:val="20"/>
              </w:rPr>
              <w:t>okresu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872946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06078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konsolidującego</w:t>
            </w:r>
            <w:r w:rsidR="00231B0A" w:rsidRPr="00872946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231B0A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231B0A" w:rsidRPr="00872946">
              <w:rPr>
                <w:color w:val="000000" w:themeColor="text1"/>
                <w:sz w:val="20"/>
                <w:szCs w:val="20"/>
              </w:rPr>
              <w:t xml:space="preserve"> po całkowitej resekcji.</w:t>
            </w:r>
          </w:p>
          <w:p w14:paraId="6E8DEF06" w14:textId="77777777" w:rsidR="000655DA" w:rsidRPr="00872946" w:rsidRDefault="000655DA" w:rsidP="00BB58B2">
            <w:pPr>
              <w:autoSpaceDE w:val="0"/>
              <w:autoSpaceDN w:val="0"/>
              <w:adjustRightInd w:val="0"/>
              <w:ind w:left="0" w:firstLine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36" w:type="dxa"/>
          </w:tcPr>
          <w:p w14:paraId="561799B0" w14:textId="77777777" w:rsidR="00404AFA" w:rsidRPr="00872946" w:rsidRDefault="00404AFA" w:rsidP="0064020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626FCCFA" w14:textId="77777777" w:rsidR="00B2385C" w:rsidRPr="00872946" w:rsidRDefault="004966B8" w:rsidP="0064020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Dawkowanie oraz sposób modyfikacji dawkowania należy prowadzić zgodnie z zapisami aktualnych na dzień wydania decyzji Charakterystyk Produktów Leczniczych (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14:paraId="76177D11" w14:textId="77777777" w:rsidR="006570B2" w:rsidRPr="00872946" w:rsidRDefault="001D7CB9" w:rsidP="0064020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0206" w:rsidRPr="00872946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7E25E4BE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h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potwierdzenie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określonego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24932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872946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20906" w:rsidRPr="00872946">
              <w:rPr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opłucnej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87294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EC538B3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9A23DC" w:rsidRPr="00872946">
              <w:rPr>
                <w:color w:val="000000" w:themeColor="text1"/>
                <w:sz w:val="20"/>
                <w:szCs w:val="20"/>
              </w:rPr>
              <w:t>otwierdzenie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czynników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(stan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F62168" w:rsidRPr="00872946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53D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22C2"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F62168" w:rsidRPr="00872946">
              <w:rPr>
                <w:iCs/>
                <w:color w:val="000000" w:themeColor="text1"/>
                <w:sz w:val="20"/>
                <w:szCs w:val="20"/>
              </w:rPr>
              <w:t xml:space="preserve"> lub </w:t>
            </w:r>
            <w:r w:rsidR="00F62168" w:rsidRPr="00872946">
              <w:rPr>
                <w:i/>
                <w:iCs/>
                <w:color w:val="000000" w:themeColor="text1"/>
                <w:sz w:val="20"/>
                <w:szCs w:val="20"/>
              </w:rPr>
              <w:t>KRAS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immunohistochemicznych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(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ekspresji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EE3407" w:rsidRPr="00872946">
              <w:rPr>
                <w:color w:val="000000" w:themeColor="text1"/>
                <w:sz w:val="20"/>
                <w:szCs w:val="20"/>
              </w:rPr>
              <w:t>-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L1)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87294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2A1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F1CDF41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51AD8B3E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09C3A012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30E07E26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2F5446B5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F294B7F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oznaczenie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7E421462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EE3407" w:rsidRPr="00872946">
              <w:rPr>
                <w:color w:val="000000" w:themeColor="text1"/>
                <w:sz w:val="20"/>
                <w:szCs w:val="20"/>
              </w:rPr>
              <w:t>-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E7075D" w:rsidRPr="00872946">
              <w:rPr>
                <w:color w:val="000000" w:themeColor="text1"/>
                <w:sz w:val="20"/>
                <w:szCs w:val="20"/>
              </w:rPr>
              <w:t>-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L1;</w:t>
            </w:r>
          </w:p>
          <w:p w14:paraId="4814FE38" w14:textId="77777777" w:rsidR="00C12FF7" w:rsidRPr="00872946" w:rsidRDefault="00C12FF7" w:rsidP="00E50798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lipidogram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przypadku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86985AE" w14:textId="77777777" w:rsidR="009F47D2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e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lektrokardiografia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(EKG);</w:t>
            </w:r>
          </w:p>
          <w:p w14:paraId="333A4E29" w14:textId="53EF446E" w:rsidR="00F26110" w:rsidRPr="00872946" w:rsidRDefault="00F26110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bookmarkStart w:id="17" w:name="_Hlk168488292"/>
            <w:r w:rsidRPr="00872946">
              <w:rPr>
                <w:sz w:val="20"/>
                <w:szCs w:val="20"/>
              </w:rPr>
              <w:t>badanie pozytonowej tomografii emisyjnej</w:t>
            </w:r>
            <w:r w:rsidR="00E8709B" w:rsidRPr="00872946">
              <w:rPr>
                <w:sz w:val="20"/>
                <w:szCs w:val="20"/>
              </w:rPr>
              <w:t xml:space="preserve"> (w przypadku przedoperacyjnego leczenia wstępnego z zastosowaniem </w:t>
            </w:r>
            <w:proofErr w:type="spellStart"/>
            <w:r w:rsidR="00E8709B" w:rsidRPr="00872946">
              <w:rPr>
                <w:sz w:val="20"/>
                <w:szCs w:val="20"/>
              </w:rPr>
              <w:t>niwolumabu</w:t>
            </w:r>
            <w:proofErr w:type="spellEnd"/>
            <w:r w:rsidR="00E8709B" w:rsidRPr="00872946">
              <w:rPr>
                <w:sz w:val="20"/>
                <w:szCs w:val="20"/>
              </w:rPr>
              <w:t>);</w:t>
            </w:r>
          </w:p>
          <w:p w14:paraId="5ED54E96" w14:textId="70FF619A" w:rsidR="00F26110" w:rsidRPr="00872946" w:rsidRDefault="00F26110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badanie MR lub TK ośrodkowego układu nerwowego</w:t>
            </w:r>
            <w:r w:rsidR="00E8709B" w:rsidRPr="00872946">
              <w:rPr>
                <w:sz w:val="20"/>
                <w:szCs w:val="20"/>
              </w:rPr>
              <w:t xml:space="preserve"> (w przypadku przedoperacyjnego leczenia wstępnego z zastosowaniem </w:t>
            </w:r>
            <w:proofErr w:type="spellStart"/>
            <w:r w:rsidR="00E8709B" w:rsidRPr="00872946">
              <w:rPr>
                <w:sz w:val="20"/>
                <w:szCs w:val="20"/>
              </w:rPr>
              <w:t>niwolumabu</w:t>
            </w:r>
            <w:proofErr w:type="spellEnd"/>
            <w:r w:rsidR="00E8709B" w:rsidRPr="00872946">
              <w:rPr>
                <w:sz w:val="20"/>
                <w:szCs w:val="20"/>
              </w:rPr>
              <w:t>);</w:t>
            </w:r>
          </w:p>
          <w:bookmarkEnd w:id="17"/>
          <w:p w14:paraId="3834CC93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nadbrzusza;</w:t>
            </w:r>
            <w:r w:rsidR="00E133B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C98F573" w14:textId="77777777" w:rsidR="00C9090B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i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za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730D12A4" w14:textId="68DECA52" w:rsidR="00932263" w:rsidRPr="003973FE" w:rsidRDefault="003973FE" w:rsidP="003973FE">
            <w:pPr>
              <w:ind w:left="0" w:firstLine="0"/>
              <w:rPr>
                <w:sz w:val="20"/>
                <w:szCs w:val="20"/>
              </w:rPr>
            </w:pPr>
            <w:r w:rsidRPr="000C3D3E">
              <w:rPr>
                <w:sz w:val="20"/>
                <w:szCs w:val="20"/>
              </w:rPr>
              <w:t>Badania obrazowe z punktów</w:t>
            </w:r>
            <w:r w:rsidR="00961AB2" w:rsidRPr="000C3D3E">
              <w:rPr>
                <w:sz w:val="20"/>
                <w:szCs w:val="20"/>
              </w:rPr>
              <w:t xml:space="preserve"> nr </w:t>
            </w:r>
            <w:r w:rsidRPr="000C3D3E">
              <w:rPr>
                <w:sz w:val="20"/>
                <w:szCs w:val="20"/>
              </w:rPr>
              <w:t>12</w:t>
            </w:r>
            <w:r w:rsidR="00961AB2" w:rsidRPr="000C3D3E">
              <w:rPr>
                <w:sz w:val="20"/>
                <w:szCs w:val="20"/>
              </w:rPr>
              <w:t xml:space="preserve"> i</w:t>
            </w:r>
            <w:r w:rsidRPr="000C3D3E">
              <w:rPr>
                <w:sz w:val="20"/>
                <w:szCs w:val="20"/>
              </w:rPr>
              <w:t xml:space="preserve"> 13 – powinny być wykonane przed zakwalifikowaniem pacjenta do leczenia chirurgicznego.</w:t>
            </w:r>
          </w:p>
          <w:p w14:paraId="579123EC" w14:textId="77777777" w:rsidR="003973FE" w:rsidRPr="00872946" w:rsidRDefault="003973FE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61C08CC" w14:textId="77777777" w:rsidR="00B6275C" w:rsidRPr="00872946" w:rsidRDefault="00413179" w:rsidP="00E5079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8" w:name="_Hlk121816794"/>
            <w:r w:rsidRPr="00872946">
              <w:rPr>
                <w:b/>
                <w:color w:val="000000" w:themeColor="text1"/>
                <w:sz w:val="20"/>
                <w:szCs w:val="20"/>
              </w:rPr>
              <w:t>M</w:t>
            </w:r>
            <w:r w:rsidR="00EE4BBD" w:rsidRPr="00872946">
              <w:rPr>
                <w:b/>
                <w:color w:val="000000" w:themeColor="text1"/>
                <w:sz w:val="20"/>
                <w:szCs w:val="20"/>
              </w:rPr>
              <w:t>onitorowani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bookmarkEnd w:id="18"/>
          </w:p>
          <w:p w14:paraId="2C8A61D0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53D72B06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009A6372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3DE5ACDC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2F25405A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3228620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1E8053C4" w14:textId="77777777" w:rsidR="009F47D2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L1;</w:t>
            </w:r>
          </w:p>
          <w:p w14:paraId="3C1A4D63" w14:textId="77777777" w:rsidR="00C12FF7" w:rsidRPr="00872946" w:rsidRDefault="00C12FF7" w:rsidP="00E50798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lipidogram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przypadku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81797DE" w14:textId="77777777" w:rsidR="001B0059" w:rsidRPr="00872946" w:rsidRDefault="00955CE8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EKG;</w:t>
            </w:r>
          </w:p>
          <w:p w14:paraId="1C2A15BD" w14:textId="77777777" w:rsidR="00413179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kinazy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872946">
              <w:rPr>
                <w:color w:val="000000" w:themeColor="text1"/>
                <w:sz w:val="20"/>
                <w:szCs w:val="20"/>
              </w:rPr>
              <w:t>fosfokreatynowej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872946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C3A69" w:rsidRPr="00872946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1590B154" w14:textId="77777777" w:rsidR="002A4D8D" w:rsidRPr="00872946" w:rsidRDefault="008A373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inhibitorów EGFR, ALK, i ROS1 oraz </w:t>
            </w:r>
            <w:proofErr w:type="spellStart"/>
            <w:r w:rsidR="003E04D1" w:rsidRPr="00872946">
              <w:rPr>
                <w:color w:val="000000" w:themeColor="text1"/>
                <w:sz w:val="20"/>
                <w:szCs w:val="20"/>
              </w:rPr>
              <w:t>sotoras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i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>bu</w:t>
            </w:r>
            <w:proofErr w:type="spellEnd"/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ymienione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powinny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odstępach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tygodniowych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C94C36" w:rsidRPr="00872946">
              <w:rPr>
                <w:color w:val="000000" w:themeColor="text1"/>
                <w:sz w:val="20"/>
                <w:szCs w:val="20"/>
              </w:rPr>
              <w:t>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AEFA9CC" w14:textId="77777777" w:rsidR="00C12FF7" w:rsidRPr="00872946" w:rsidRDefault="00C12FF7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 -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niezależnie od linii leczenia -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powinien być wykonywany przed włączeniem do leczenia, po 4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>-</w:t>
            </w:r>
            <w:r w:rsidRPr="00872946">
              <w:rPr>
                <w:color w:val="000000" w:themeColor="text1"/>
                <w:sz w:val="20"/>
                <w:szCs w:val="20"/>
              </w:rPr>
              <w:t>6 tygodni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>ach i następnie co 3 miesiące.</w:t>
            </w:r>
          </w:p>
          <w:p w14:paraId="0751DF7D" w14:textId="77777777" w:rsidR="00413179" w:rsidRPr="00872946" w:rsidRDefault="00FC01E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przypadku stosowania immunoterapii wymienione badania powinny być wykonywane w odstępach 4-8 tygodniowych przez pierwsze 3 miesiące leczenia, a następnie co 3 miesiące.</w:t>
            </w:r>
          </w:p>
          <w:p w14:paraId="6AF772EF" w14:textId="77777777" w:rsidR="008D0564" w:rsidRPr="00872946" w:rsidRDefault="008D0564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</w:t>
            </w:r>
            <w:r w:rsidR="005467F4" w:rsidRPr="00872946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leczenia wstępnego z zastosowaniem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wymienione badania powinny być wykonane przed każdym podaniem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32012154" w14:textId="77777777" w:rsidR="00BB13BE" w:rsidRPr="00872946" w:rsidRDefault="00BB13BE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konsolidującego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badania powinny być wykonywane w odstępach 4 tygodniowych przez pierwsze 3 miesiące leczenia, a następnie co 3 miesiące (wyjątek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872946">
              <w:rPr>
                <w:color w:val="000000" w:themeColor="text1"/>
                <w:sz w:val="20"/>
                <w:szCs w:val="20"/>
              </w:rPr>
              <w:t>badania czynnościowe tarczycy i badanie EKG wykonywane co 12 tygodni).</w:t>
            </w:r>
          </w:p>
          <w:p w14:paraId="70685992" w14:textId="77777777" w:rsidR="00A02F6D" w:rsidRPr="00872946" w:rsidRDefault="00A02F6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chemioterapi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58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58C6" w:rsidRPr="00872946">
              <w:rPr>
                <w:sz w:val="20"/>
                <w:szCs w:val="20"/>
              </w:rPr>
              <w:t>niwolumabem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skojarzeniu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EF58C6" w:rsidRPr="00872946">
              <w:rPr>
                <w:sz w:val="20"/>
                <w:szCs w:val="20"/>
              </w:rPr>
              <w:t>ipilimumabem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dwoma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cyklami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0C3D3E">
              <w:rPr>
                <w:sz w:val="20"/>
                <w:szCs w:val="20"/>
              </w:rPr>
              <w:lastRenderedPageBreak/>
              <w:t>chemioterapii</w:t>
            </w:r>
            <w:r w:rsidR="00D02EBC" w:rsidRPr="000C3D3E">
              <w:rPr>
                <w:sz w:val="20"/>
                <w:szCs w:val="20"/>
              </w:rPr>
              <w:t xml:space="preserve"> lub </w:t>
            </w:r>
            <w:proofErr w:type="spellStart"/>
            <w:r w:rsidR="00D02EBC" w:rsidRPr="000C3D3E">
              <w:rPr>
                <w:sz w:val="20"/>
                <w:szCs w:val="20"/>
              </w:rPr>
              <w:t>cemiplimabem</w:t>
            </w:r>
            <w:proofErr w:type="spellEnd"/>
            <w:r w:rsidR="00D02EBC" w:rsidRPr="000C3D3E">
              <w:rPr>
                <w:sz w:val="20"/>
                <w:szCs w:val="20"/>
              </w:rPr>
              <w:t xml:space="preserve"> w skojarzeniu z chemioterapia opartą na związkach platyny</w:t>
            </w:r>
            <w:r w:rsidRPr="000C3D3E">
              <w:rPr>
                <w:color w:val="000000" w:themeColor="text1"/>
                <w:sz w:val="20"/>
                <w:szCs w:val="20"/>
              </w:rPr>
              <w:t>:</w:t>
            </w:r>
          </w:p>
          <w:p w14:paraId="6E412FDF" w14:textId="77777777" w:rsidR="00A02F6D" w:rsidRPr="00872946" w:rsidRDefault="00413179" w:rsidP="00E50798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1-</w:t>
            </w:r>
            <w:r w:rsidR="005467F4" w:rsidRPr="00872946">
              <w:rPr>
                <w:color w:val="000000" w:themeColor="text1"/>
                <w:sz w:val="20"/>
                <w:szCs w:val="20"/>
              </w:rPr>
              <w:t>7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każdym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podaniem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(w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2F6D" w:rsidRPr="00872946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podtrzymującej)</w:t>
            </w:r>
            <w:r w:rsidR="00640206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55D66556" w14:textId="77777777" w:rsidR="00A02F6D" w:rsidRPr="00872946" w:rsidRDefault="00413179" w:rsidP="00E50798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pkt</w:t>
            </w:r>
            <w:r w:rsidR="00380579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1-</w:t>
            </w:r>
            <w:r w:rsidR="005467F4" w:rsidRPr="00872946">
              <w:rPr>
                <w:color w:val="000000" w:themeColor="text1"/>
                <w:sz w:val="20"/>
                <w:szCs w:val="20"/>
              </w:rPr>
              <w:t>7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17A7" w:rsidRPr="00872946">
              <w:rPr>
                <w:color w:val="000000" w:themeColor="text1"/>
                <w:sz w:val="20"/>
                <w:szCs w:val="20"/>
              </w:rPr>
              <w:t>t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podtrzymującego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wyłącznie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813" w:rsidRPr="00872946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miesiące.</w:t>
            </w:r>
          </w:p>
          <w:p w14:paraId="1CFA80AA" w14:textId="77777777" w:rsidR="00ED0234" w:rsidRPr="00872946" w:rsidRDefault="00ED0234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skojarzonego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z chemioterapią albo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z chemioterapią w drobnokomórkowym raku płuca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wymienione badania powinny być wykonywane przed każdym cyklem. </w:t>
            </w:r>
          </w:p>
          <w:p w14:paraId="5126CD3A" w14:textId="77777777" w:rsidR="00ED0234" w:rsidRPr="00872946" w:rsidRDefault="00ED0234" w:rsidP="00E50798">
            <w:pPr>
              <w:autoSpaceDE w:val="0"/>
              <w:autoSpaceDN w:val="0"/>
              <w:adjustRightInd w:val="0"/>
              <w:ind w:left="11" w:hanging="11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E2CDB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fazie leczenia podtrzymującego drobnokomórkowego raka płuca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– badania z pkt 1-8 co 4-8</w:t>
            </w:r>
            <w:r w:rsidR="003E2CDB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tygodni przez pierwsze 3 miesiące leczenia, a następnie co 3 miesiące</w:t>
            </w:r>
            <w:r w:rsidR="003B3FD9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589C113F" w14:textId="77777777" w:rsidR="002A4D8D" w:rsidRPr="00872946" w:rsidRDefault="002E629D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A373D" w:rsidRPr="00872946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2361B0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natomiast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tyg</w:t>
            </w:r>
            <w:r w:rsidR="00AE6570" w:rsidRPr="00872946">
              <w:rPr>
                <w:color w:val="000000" w:themeColor="text1"/>
                <w:sz w:val="20"/>
                <w:szCs w:val="20"/>
              </w:rPr>
              <w:t>odni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64E7C4B" w14:textId="77777777" w:rsidR="00C9090B" w:rsidRPr="00872946" w:rsidRDefault="00600F03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Każde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bada</w:t>
            </w:r>
            <w:r w:rsidRPr="00872946">
              <w:rPr>
                <w:color w:val="000000" w:themeColor="text1"/>
                <w:sz w:val="20"/>
                <w:szCs w:val="20"/>
              </w:rPr>
              <w:t>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diagnostyczn</w:t>
            </w:r>
            <w:r w:rsidRPr="00872946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może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zostać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wykonane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dodatkowo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dowolnym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momencie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kliniczn</w:t>
            </w:r>
            <w:r w:rsidRPr="00872946">
              <w:rPr>
                <w:color w:val="000000" w:themeColor="text1"/>
                <w:sz w:val="20"/>
                <w:szCs w:val="20"/>
              </w:rPr>
              <w:t>ych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3C03445B" w14:textId="77777777" w:rsidR="004966B8" w:rsidRPr="00872946" w:rsidRDefault="004966B8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monitorowaniu bezpieczeństwa leczenia należy uwzględnić inne parametry laboratoryjne zgodnie z Charakterystyką Produktu Leczniczego</w:t>
            </w:r>
            <w:r w:rsidR="000A5549" w:rsidRPr="00872946">
              <w:rPr>
                <w:color w:val="000000" w:themeColor="text1"/>
                <w:sz w:val="20"/>
                <w:szCs w:val="20"/>
              </w:rPr>
              <w:t>,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jeżeli są wymagane.</w:t>
            </w:r>
          </w:p>
          <w:p w14:paraId="64621B51" w14:textId="77777777" w:rsidR="001D7998" w:rsidRPr="00872946" w:rsidRDefault="001D7998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2BEDE79" w14:textId="77777777" w:rsidR="00655372" w:rsidRPr="00872946" w:rsidRDefault="00413179" w:rsidP="00E5079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19" w:name="_Hlk52951758"/>
            <w:r w:rsidRPr="0087294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452E" w:rsidRPr="00872946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bookmarkEnd w:id="19"/>
          <w:p w14:paraId="0F699EF4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b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6203A5B2" w14:textId="77777777" w:rsidR="00345CF3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i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miejsca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872946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40F87A33" w14:textId="77777777" w:rsidR="008B0240" w:rsidRDefault="00EE4BB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utrzymując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klinicznymi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)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774DCE2" w14:textId="72B929D9" w:rsidR="00BC6F09" w:rsidRPr="00872946" w:rsidRDefault="00BC6F09" w:rsidP="00BC6F09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C3D3E">
              <w:rPr>
                <w:color w:val="000000" w:themeColor="text1"/>
                <w:sz w:val="20"/>
                <w:szCs w:val="20"/>
              </w:rPr>
              <w:t xml:space="preserve">W przypadku uzupełniającego leczenia pooperacyjnego </w:t>
            </w:r>
            <w:proofErr w:type="spellStart"/>
            <w:r w:rsidRPr="000C3D3E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0C3D3E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0C3D3E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Pr="000C3D3E">
              <w:rPr>
                <w:color w:val="000000" w:themeColor="text1"/>
                <w:sz w:val="20"/>
                <w:szCs w:val="20"/>
              </w:rPr>
              <w:t xml:space="preserve"> ocenę stopnia zaawansowania nowotworu przeprowadza się co 6 miesięcy lub w przypadku wystąpienia wskazań klinicznych.</w:t>
            </w:r>
          </w:p>
          <w:p w14:paraId="794A8238" w14:textId="77777777" w:rsidR="00ED0234" w:rsidRPr="00872946" w:rsidRDefault="00ED0234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drobnokomórkowym raku płuca – co 2 cykle w trakcie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immunochemioterapii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, następnie co 3 miesiące przez pierwsze 2 lata leczenia,</w:t>
            </w:r>
            <w:r w:rsidR="000A5549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>a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następnie co 6 miesięcy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FD9" w:rsidRPr="00872946">
              <w:rPr>
                <w:color w:val="000000" w:themeColor="text1"/>
                <w:sz w:val="20"/>
                <w:szCs w:val="20"/>
              </w:rPr>
              <w:t>(dotyczy chorych z utrzymującymi się korzyściami klinicznymi)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3A72A06C" w14:textId="77777777" w:rsidR="007F7252" w:rsidRPr="00872946" w:rsidRDefault="00397CFB" w:rsidP="00E50798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6567" w:rsidRPr="00872946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136567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klinicznymi)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5A810F4C" w14:textId="77777777" w:rsidR="007F7252" w:rsidRPr="00872946" w:rsidRDefault="007F7252" w:rsidP="00E50798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</w:p>
          <w:p w14:paraId="2434BC10" w14:textId="77777777" w:rsidR="007F7252" w:rsidRPr="00872946" w:rsidRDefault="007F7252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Oceny skuteczności leczenia </w:t>
            </w:r>
            <w:r w:rsidR="00DA1036" w:rsidRPr="00872946">
              <w:rPr>
                <w:color w:val="000000" w:themeColor="text1"/>
                <w:sz w:val="20"/>
                <w:szCs w:val="20"/>
              </w:rPr>
              <w:t xml:space="preserve">(odnosi się do stosowania leczenia w stadium  zaawansowanym) </w:t>
            </w:r>
            <w:r w:rsidRPr="00872946">
              <w:rPr>
                <w:color w:val="000000" w:themeColor="text1"/>
                <w:sz w:val="20"/>
                <w:szCs w:val="20"/>
              </w:rPr>
              <w:t>dokonuje się zgodnie z aktualnymi kryteriami RECIST.</w:t>
            </w:r>
          </w:p>
          <w:p w14:paraId="161F8968" w14:textId="77777777" w:rsidR="007F7252" w:rsidRPr="00872946" w:rsidRDefault="001830F5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 xml:space="preserve">Na podstawie ww. badań </w:t>
            </w:r>
            <w:r w:rsidR="007F7252" w:rsidRPr="00872946">
              <w:rPr>
                <w:color w:val="000000" w:themeColor="text1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52E71B38" w14:textId="77777777" w:rsidR="007F7252" w:rsidRPr="00E50798" w:rsidRDefault="007F7252" w:rsidP="00E50798">
            <w:pPr>
              <w:pStyle w:val="Akapitzlist"/>
              <w:numPr>
                <w:ilvl w:val="4"/>
                <w:numId w:val="4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E50798">
              <w:rPr>
                <w:color w:val="000000" w:themeColor="text1"/>
                <w:sz w:val="20"/>
                <w:szCs w:val="20"/>
              </w:rPr>
              <w:t>całkowitą (CR) lub częściową odpowiedź (PR) na leczenie,</w:t>
            </w:r>
          </w:p>
          <w:p w14:paraId="070C1547" w14:textId="77777777" w:rsidR="007F7252" w:rsidRPr="00E50798" w:rsidRDefault="007F7252" w:rsidP="00E50798">
            <w:pPr>
              <w:pStyle w:val="Akapitzlist"/>
              <w:numPr>
                <w:ilvl w:val="4"/>
                <w:numId w:val="4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E50798">
              <w:rPr>
                <w:color w:val="000000" w:themeColor="text1"/>
                <w:sz w:val="20"/>
                <w:szCs w:val="20"/>
              </w:rPr>
              <w:tab/>
              <w:t>stabilizację (SD) lub progresję choroby (PD),</w:t>
            </w:r>
          </w:p>
          <w:p w14:paraId="759907C7" w14:textId="77777777" w:rsidR="001D7998" w:rsidRPr="00872946" w:rsidRDefault="007F7252" w:rsidP="00E50798">
            <w:pPr>
              <w:pStyle w:val="Akapitzlist"/>
              <w:numPr>
                <w:ilvl w:val="4"/>
                <w:numId w:val="4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ab/>
              <w:t>całkowite przeżycie (OS) i czas do progresji (PFS).</w:t>
            </w:r>
          </w:p>
          <w:p w14:paraId="0ACC45F9" w14:textId="77777777" w:rsidR="007F7252" w:rsidRPr="00872946" w:rsidRDefault="007F7252" w:rsidP="00E50798">
            <w:pPr>
              <w:autoSpaceDE w:val="0"/>
              <w:autoSpaceDN w:val="0"/>
              <w:adjustRightInd w:val="0"/>
              <w:ind w:left="454"/>
              <w:rPr>
                <w:color w:val="000000" w:themeColor="text1"/>
                <w:sz w:val="20"/>
                <w:szCs w:val="20"/>
              </w:rPr>
            </w:pPr>
          </w:p>
          <w:p w14:paraId="59A50B7E" w14:textId="77777777" w:rsidR="00914853" w:rsidRPr="00872946" w:rsidRDefault="0072633C" w:rsidP="00E5079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2BB6B6CB" w14:textId="77777777" w:rsidR="009247B1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g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romadzenie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dokumentacji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medycznej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dotyczących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monitorowania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każdorazowe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przedstawianie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żądanie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kontrolerów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Narodowego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Funduszu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1B8F514E" w14:textId="77777777" w:rsidR="009247B1" w:rsidRPr="00872946" w:rsidRDefault="007F7252" w:rsidP="00E50798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642EE2B8" w14:textId="77777777" w:rsidR="0072633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rzekazywanie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informacji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(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informacje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przekazuje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papierowej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elektronicznej</w:t>
            </w:r>
            <w:r w:rsidR="00EA7CDC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wymaganiami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opublikowanymi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FZ</w:t>
            </w:r>
            <w:r w:rsidR="000A5549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75BC8E53" w14:textId="77777777" w:rsidR="0072633C" w:rsidRPr="00372E3E" w:rsidRDefault="0072633C" w:rsidP="00C72CF0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4DE8B020" w14:textId="77777777" w:rsidR="00743C43" w:rsidRPr="00EC252F" w:rsidRDefault="00743C43" w:rsidP="00EC252F">
      <w:pPr>
        <w:ind w:left="0" w:firstLine="0"/>
        <w:rPr>
          <w:color w:val="000000" w:themeColor="text1"/>
          <w:sz w:val="10"/>
          <w:szCs w:val="10"/>
        </w:rPr>
      </w:pPr>
    </w:p>
    <w:sectPr w:rsidR="00743C43" w:rsidRPr="00EC252F" w:rsidSect="00B05136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37B32" w14:textId="77777777" w:rsidR="00485956" w:rsidRDefault="00485956" w:rsidP="00EA21BD">
      <w:r>
        <w:separator/>
      </w:r>
    </w:p>
  </w:endnote>
  <w:endnote w:type="continuationSeparator" w:id="0">
    <w:p w14:paraId="35BC373A" w14:textId="77777777" w:rsidR="00485956" w:rsidRDefault="00485956" w:rsidP="00EA21BD">
      <w:r>
        <w:continuationSeparator/>
      </w:r>
    </w:p>
  </w:endnote>
  <w:endnote w:type="continuationNotice" w:id="1">
    <w:p w14:paraId="526E127D" w14:textId="77777777" w:rsidR="00485956" w:rsidRDefault="00485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B33AE" w14:textId="77777777" w:rsidR="002243F3" w:rsidRPr="00F02EF3" w:rsidRDefault="002243F3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B4281" w14:textId="77777777" w:rsidR="00485956" w:rsidRDefault="00485956" w:rsidP="00EA21BD">
      <w:r>
        <w:separator/>
      </w:r>
    </w:p>
  </w:footnote>
  <w:footnote w:type="continuationSeparator" w:id="0">
    <w:p w14:paraId="6ED8CC8B" w14:textId="77777777" w:rsidR="00485956" w:rsidRDefault="00485956" w:rsidP="00EA21BD">
      <w:r>
        <w:continuationSeparator/>
      </w:r>
    </w:p>
  </w:footnote>
  <w:footnote w:type="continuationNotice" w:id="1">
    <w:p w14:paraId="425427AD" w14:textId="77777777" w:rsidR="00485956" w:rsidRDefault="004859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84F77"/>
    <w:multiLevelType w:val="multilevel"/>
    <w:tmpl w:val="ADAE87F0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1D69C1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EC13CAC"/>
    <w:multiLevelType w:val="multilevel"/>
    <w:tmpl w:val="C160F184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331EE5"/>
    <w:multiLevelType w:val="hybridMultilevel"/>
    <w:tmpl w:val="D3CE3284"/>
    <w:lvl w:ilvl="0" w:tplc="0AC81480">
      <w:start w:val="1"/>
      <w:numFmt w:val="decimal"/>
      <w:lvlText w:val="%1.1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10A3007E"/>
    <w:multiLevelType w:val="multilevel"/>
    <w:tmpl w:val="B03C69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0636A8"/>
    <w:multiLevelType w:val="hybridMultilevel"/>
    <w:tmpl w:val="B6988BE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6EEE392A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5EC3E6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75B2CD2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18744F14"/>
    <w:multiLevelType w:val="multilevel"/>
    <w:tmpl w:val="738AE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A14278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BDC05BE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BDC0954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2097DF8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277F6CC9"/>
    <w:multiLevelType w:val="multilevel"/>
    <w:tmpl w:val="ADAE87F0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95430DA"/>
    <w:multiLevelType w:val="hybridMultilevel"/>
    <w:tmpl w:val="BFBAE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754F4"/>
    <w:multiLevelType w:val="hybridMultilevel"/>
    <w:tmpl w:val="93A80C4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7" w15:restartNumberingAfterBreak="0">
    <w:nsid w:val="2D8D3F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DD36D7"/>
    <w:multiLevelType w:val="multilevel"/>
    <w:tmpl w:val="CC68393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0EC1C94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331C0638"/>
    <w:multiLevelType w:val="multilevel"/>
    <w:tmpl w:val="8062C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54A1F08"/>
    <w:multiLevelType w:val="hybridMultilevel"/>
    <w:tmpl w:val="0C543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A0E36"/>
    <w:multiLevelType w:val="multilevel"/>
    <w:tmpl w:val="5CCEE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928644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A406805"/>
    <w:multiLevelType w:val="multilevel"/>
    <w:tmpl w:val="35CC41DE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3A627A7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08452B1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46557074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8" w15:restartNumberingAfterBreak="0">
    <w:nsid w:val="47C92AF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A641C6B"/>
    <w:multiLevelType w:val="multilevel"/>
    <w:tmpl w:val="A8C4DC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4FED0181"/>
    <w:multiLevelType w:val="multilevel"/>
    <w:tmpl w:val="D9D69F0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2763ADE"/>
    <w:multiLevelType w:val="multilevel"/>
    <w:tmpl w:val="BCA2475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3553806"/>
    <w:multiLevelType w:val="hybridMultilevel"/>
    <w:tmpl w:val="B8E824FA"/>
    <w:lvl w:ilvl="0" w:tplc="9ECC84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E5C62"/>
    <w:multiLevelType w:val="multilevel"/>
    <w:tmpl w:val="98C4082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553089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5" w15:restartNumberingAfterBreak="0">
    <w:nsid w:val="56E97FC2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F057DD4"/>
    <w:multiLevelType w:val="multilevel"/>
    <w:tmpl w:val="212CFDB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49A4463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8" w15:restartNumberingAfterBreak="0">
    <w:nsid w:val="64E86641"/>
    <w:multiLevelType w:val="multilevel"/>
    <w:tmpl w:val="CF0A67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5DE3655"/>
    <w:multiLevelType w:val="multilevel"/>
    <w:tmpl w:val="A802C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67591AD5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1" w15:restartNumberingAfterBreak="0">
    <w:nsid w:val="6A9776D7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0617803"/>
    <w:multiLevelType w:val="multilevel"/>
    <w:tmpl w:val="41802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3C817A9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4" w15:restartNumberingAfterBreak="0">
    <w:nsid w:val="751D2270"/>
    <w:multiLevelType w:val="multilevel"/>
    <w:tmpl w:val="DE503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7CE6B0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6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7B762D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FD97B5E"/>
    <w:multiLevelType w:val="multilevel"/>
    <w:tmpl w:val="76561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53567576">
    <w:abstractNumId w:val="4"/>
  </w:num>
  <w:num w:numId="2" w16cid:durableId="914705325">
    <w:abstractNumId w:val="12"/>
  </w:num>
  <w:num w:numId="3" w16cid:durableId="1233393961">
    <w:abstractNumId w:val="20"/>
  </w:num>
  <w:num w:numId="4" w16cid:durableId="1592009990">
    <w:abstractNumId w:val="11"/>
  </w:num>
  <w:num w:numId="5" w16cid:durableId="1749572654">
    <w:abstractNumId w:val="29"/>
  </w:num>
  <w:num w:numId="6" w16cid:durableId="987830107">
    <w:abstractNumId w:val="24"/>
  </w:num>
  <w:num w:numId="7" w16cid:durableId="1555265300">
    <w:abstractNumId w:val="46"/>
  </w:num>
  <w:num w:numId="8" w16cid:durableId="133328887">
    <w:abstractNumId w:val="47"/>
  </w:num>
  <w:num w:numId="9" w16cid:durableId="1980912796">
    <w:abstractNumId w:val="15"/>
  </w:num>
  <w:num w:numId="10" w16cid:durableId="901911010">
    <w:abstractNumId w:val="17"/>
  </w:num>
  <w:num w:numId="11" w16cid:durableId="1731296618">
    <w:abstractNumId w:val="8"/>
  </w:num>
  <w:num w:numId="12" w16cid:durableId="650403574">
    <w:abstractNumId w:val="32"/>
  </w:num>
  <w:num w:numId="13" w16cid:durableId="1043286359">
    <w:abstractNumId w:val="44"/>
  </w:num>
  <w:num w:numId="14" w16cid:durableId="477888968">
    <w:abstractNumId w:val="39"/>
  </w:num>
  <w:num w:numId="15" w16cid:durableId="781998628">
    <w:abstractNumId w:val="35"/>
  </w:num>
  <w:num w:numId="16" w16cid:durableId="507453554">
    <w:abstractNumId w:val="41"/>
  </w:num>
  <w:num w:numId="17" w16cid:durableId="1160459468">
    <w:abstractNumId w:val="33"/>
  </w:num>
  <w:num w:numId="18" w16cid:durableId="2137721078">
    <w:abstractNumId w:val="48"/>
  </w:num>
  <w:num w:numId="19" w16cid:durableId="881360835">
    <w:abstractNumId w:val="30"/>
  </w:num>
  <w:num w:numId="20" w16cid:durableId="1188058914">
    <w:abstractNumId w:val="31"/>
  </w:num>
  <w:num w:numId="21" w16cid:durableId="579023848">
    <w:abstractNumId w:val="38"/>
  </w:num>
  <w:num w:numId="22" w16cid:durableId="1884638063">
    <w:abstractNumId w:val="36"/>
  </w:num>
  <w:num w:numId="23" w16cid:durableId="856770996">
    <w:abstractNumId w:val="18"/>
  </w:num>
  <w:num w:numId="24" w16cid:durableId="1306274589">
    <w:abstractNumId w:val="7"/>
  </w:num>
  <w:num w:numId="25" w16cid:durableId="1624535249">
    <w:abstractNumId w:val="26"/>
  </w:num>
  <w:num w:numId="26" w16cid:durableId="1864778199">
    <w:abstractNumId w:val="45"/>
  </w:num>
  <w:num w:numId="27" w16cid:durableId="475417192">
    <w:abstractNumId w:val="16"/>
  </w:num>
  <w:num w:numId="28" w16cid:durableId="1241256710">
    <w:abstractNumId w:val="42"/>
  </w:num>
  <w:num w:numId="29" w16cid:durableId="1548370241">
    <w:abstractNumId w:val="14"/>
  </w:num>
  <w:num w:numId="30" w16cid:durableId="892691985">
    <w:abstractNumId w:val="0"/>
  </w:num>
  <w:num w:numId="31" w16cid:durableId="475954134">
    <w:abstractNumId w:val="2"/>
  </w:num>
  <w:num w:numId="32" w16cid:durableId="883561210">
    <w:abstractNumId w:val="21"/>
  </w:num>
  <w:num w:numId="33" w16cid:durableId="1794210971">
    <w:abstractNumId w:val="3"/>
  </w:num>
  <w:num w:numId="34" w16cid:durableId="475877175">
    <w:abstractNumId w:val="22"/>
  </w:num>
  <w:num w:numId="35" w16cid:durableId="517044209">
    <w:abstractNumId w:val="34"/>
  </w:num>
  <w:num w:numId="36" w16cid:durableId="1211921742">
    <w:abstractNumId w:val="43"/>
  </w:num>
  <w:num w:numId="37" w16cid:durableId="738477867">
    <w:abstractNumId w:val="40"/>
  </w:num>
  <w:num w:numId="38" w16cid:durableId="468014807">
    <w:abstractNumId w:val="1"/>
  </w:num>
  <w:num w:numId="39" w16cid:durableId="811218067">
    <w:abstractNumId w:val="19"/>
  </w:num>
  <w:num w:numId="40" w16cid:durableId="77601959">
    <w:abstractNumId w:val="13"/>
  </w:num>
  <w:num w:numId="41" w16cid:durableId="1514104213">
    <w:abstractNumId w:val="27"/>
  </w:num>
  <w:num w:numId="42" w16cid:durableId="1027102163">
    <w:abstractNumId w:val="37"/>
  </w:num>
  <w:num w:numId="43" w16cid:durableId="286743555">
    <w:abstractNumId w:val="10"/>
  </w:num>
  <w:num w:numId="44" w16cid:durableId="1352146796">
    <w:abstractNumId w:val="6"/>
  </w:num>
  <w:num w:numId="45" w16cid:durableId="1499228001">
    <w:abstractNumId w:val="25"/>
  </w:num>
  <w:num w:numId="46" w16cid:durableId="1101339640">
    <w:abstractNumId w:val="23"/>
  </w:num>
  <w:num w:numId="47" w16cid:durableId="1930774860">
    <w:abstractNumId w:val="28"/>
  </w:num>
  <w:num w:numId="48" w16cid:durableId="1640497225">
    <w:abstractNumId w:val="9"/>
  </w:num>
  <w:num w:numId="49" w16cid:durableId="155341840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2770"/>
    <w:rsid w:val="00003E90"/>
    <w:rsid w:val="00006643"/>
    <w:rsid w:val="00006775"/>
    <w:rsid w:val="00007128"/>
    <w:rsid w:val="00007E2B"/>
    <w:rsid w:val="00010CB6"/>
    <w:rsid w:val="0001544F"/>
    <w:rsid w:val="00015D29"/>
    <w:rsid w:val="00016796"/>
    <w:rsid w:val="00016CEB"/>
    <w:rsid w:val="0002462E"/>
    <w:rsid w:val="00024F01"/>
    <w:rsid w:val="00025064"/>
    <w:rsid w:val="000265D5"/>
    <w:rsid w:val="000277FB"/>
    <w:rsid w:val="00027B02"/>
    <w:rsid w:val="00031BD0"/>
    <w:rsid w:val="00033673"/>
    <w:rsid w:val="0003447A"/>
    <w:rsid w:val="00034ADE"/>
    <w:rsid w:val="000364BC"/>
    <w:rsid w:val="00036878"/>
    <w:rsid w:val="000379DA"/>
    <w:rsid w:val="00041500"/>
    <w:rsid w:val="00042072"/>
    <w:rsid w:val="0004238A"/>
    <w:rsid w:val="00042FA0"/>
    <w:rsid w:val="00043484"/>
    <w:rsid w:val="00043541"/>
    <w:rsid w:val="00043594"/>
    <w:rsid w:val="00043770"/>
    <w:rsid w:val="00043EE8"/>
    <w:rsid w:val="0004436D"/>
    <w:rsid w:val="00050638"/>
    <w:rsid w:val="0005207A"/>
    <w:rsid w:val="00054515"/>
    <w:rsid w:val="000547A1"/>
    <w:rsid w:val="000548F2"/>
    <w:rsid w:val="0005592E"/>
    <w:rsid w:val="000602E8"/>
    <w:rsid w:val="00061231"/>
    <w:rsid w:val="00061B3B"/>
    <w:rsid w:val="000623D1"/>
    <w:rsid w:val="000642FA"/>
    <w:rsid w:val="000655DA"/>
    <w:rsid w:val="00066200"/>
    <w:rsid w:val="0006696F"/>
    <w:rsid w:val="00070002"/>
    <w:rsid w:val="000707EC"/>
    <w:rsid w:val="00071A37"/>
    <w:rsid w:val="00071F53"/>
    <w:rsid w:val="00073506"/>
    <w:rsid w:val="00075175"/>
    <w:rsid w:val="0007699C"/>
    <w:rsid w:val="00077406"/>
    <w:rsid w:val="00077E7E"/>
    <w:rsid w:val="00080162"/>
    <w:rsid w:val="00081317"/>
    <w:rsid w:val="00081EA0"/>
    <w:rsid w:val="0008215F"/>
    <w:rsid w:val="000828F2"/>
    <w:rsid w:val="000849AC"/>
    <w:rsid w:val="000851B7"/>
    <w:rsid w:val="0009058E"/>
    <w:rsid w:val="00090F70"/>
    <w:rsid w:val="000934B2"/>
    <w:rsid w:val="00094562"/>
    <w:rsid w:val="00097B65"/>
    <w:rsid w:val="000A0004"/>
    <w:rsid w:val="000A11CE"/>
    <w:rsid w:val="000A2D58"/>
    <w:rsid w:val="000A3222"/>
    <w:rsid w:val="000A3985"/>
    <w:rsid w:val="000A3EA2"/>
    <w:rsid w:val="000A4155"/>
    <w:rsid w:val="000A5549"/>
    <w:rsid w:val="000A5CB6"/>
    <w:rsid w:val="000A765E"/>
    <w:rsid w:val="000B16FD"/>
    <w:rsid w:val="000B3751"/>
    <w:rsid w:val="000B43CD"/>
    <w:rsid w:val="000C12FD"/>
    <w:rsid w:val="000C16FC"/>
    <w:rsid w:val="000C1AB9"/>
    <w:rsid w:val="000C3670"/>
    <w:rsid w:val="000C3D3E"/>
    <w:rsid w:val="000C3F1B"/>
    <w:rsid w:val="000C5022"/>
    <w:rsid w:val="000C69D6"/>
    <w:rsid w:val="000C6A47"/>
    <w:rsid w:val="000C7215"/>
    <w:rsid w:val="000C77B9"/>
    <w:rsid w:val="000D15A4"/>
    <w:rsid w:val="000D1C72"/>
    <w:rsid w:val="000D21D3"/>
    <w:rsid w:val="000D2612"/>
    <w:rsid w:val="000D266C"/>
    <w:rsid w:val="000D2D32"/>
    <w:rsid w:val="000D34D2"/>
    <w:rsid w:val="000D422B"/>
    <w:rsid w:val="000D627E"/>
    <w:rsid w:val="000D65FB"/>
    <w:rsid w:val="000E0FCC"/>
    <w:rsid w:val="000E25C8"/>
    <w:rsid w:val="000E2ABD"/>
    <w:rsid w:val="000E34D6"/>
    <w:rsid w:val="000E3EDF"/>
    <w:rsid w:val="000E4A2F"/>
    <w:rsid w:val="000E7B7F"/>
    <w:rsid w:val="000F013D"/>
    <w:rsid w:val="000F17A4"/>
    <w:rsid w:val="000F17E1"/>
    <w:rsid w:val="000F3501"/>
    <w:rsid w:val="000F5CF5"/>
    <w:rsid w:val="000F5D97"/>
    <w:rsid w:val="000F6D29"/>
    <w:rsid w:val="000F741E"/>
    <w:rsid w:val="00100410"/>
    <w:rsid w:val="00100861"/>
    <w:rsid w:val="00103D2E"/>
    <w:rsid w:val="00103F52"/>
    <w:rsid w:val="00105BD3"/>
    <w:rsid w:val="00107C99"/>
    <w:rsid w:val="00107CF0"/>
    <w:rsid w:val="00111C8B"/>
    <w:rsid w:val="001128C6"/>
    <w:rsid w:val="00112A7E"/>
    <w:rsid w:val="001147F7"/>
    <w:rsid w:val="001159AB"/>
    <w:rsid w:val="001176F0"/>
    <w:rsid w:val="00117F48"/>
    <w:rsid w:val="00122901"/>
    <w:rsid w:val="00124B3A"/>
    <w:rsid w:val="00135BA3"/>
    <w:rsid w:val="00136191"/>
    <w:rsid w:val="00136567"/>
    <w:rsid w:val="00137096"/>
    <w:rsid w:val="001370BB"/>
    <w:rsid w:val="0014035D"/>
    <w:rsid w:val="00144C47"/>
    <w:rsid w:val="00145A39"/>
    <w:rsid w:val="00147848"/>
    <w:rsid w:val="00150CF7"/>
    <w:rsid w:val="00152B52"/>
    <w:rsid w:val="00154275"/>
    <w:rsid w:val="001543A0"/>
    <w:rsid w:val="00156047"/>
    <w:rsid w:val="0015732E"/>
    <w:rsid w:val="00157AFB"/>
    <w:rsid w:val="001603AC"/>
    <w:rsid w:val="001653F2"/>
    <w:rsid w:val="00166DAF"/>
    <w:rsid w:val="00173362"/>
    <w:rsid w:val="0017348B"/>
    <w:rsid w:val="001749B7"/>
    <w:rsid w:val="00177B1B"/>
    <w:rsid w:val="00182C28"/>
    <w:rsid w:val="001830F5"/>
    <w:rsid w:val="001837F3"/>
    <w:rsid w:val="00185F37"/>
    <w:rsid w:val="00186CCE"/>
    <w:rsid w:val="00187DDE"/>
    <w:rsid w:val="00187F1D"/>
    <w:rsid w:val="0019085F"/>
    <w:rsid w:val="00194C0C"/>
    <w:rsid w:val="001A03CD"/>
    <w:rsid w:val="001A16A4"/>
    <w:rsid w:val="001A23DB"/>
    <w:rsid w:val="001A2845"/>
    <w:rsid w:val="001A2B07"/>
    <w:rsid w:val="001A4A98"/>
    <w:rsid w:val="001A4AC1"/>
    <w:rsid w:val="001A696D"/>
    <w:rsid w:val="001B0059"/>
    <w:rsid w:val="001B05F1"/>
    <w:rsid w:val="001B1CF8"/>
    <w:rsid w:val="001B2684"/>
    <w:rsid w:val="001B4B63"/>
    <w:rsid w:val="001C0A4D"/>
    <w:rsid w:val="001C2457"/>
    <w:rsid w:val="001C2EB7"/>
    <w:rsid w:val="001C34EF"/>
    <w:rsid w:val="001C54AE"/>
    <w:rsid w:val="001C77B1"/>
    <w:rsid w:val="001D2BC2"/>
    <w:rsid w:val="001D2F51"/>
    <w:rsid w:val="001D35C7"/>
    <w:rsid w:val="001D4367"/>
    <w:rsid w:val="001D4F04"/>
    <w:rsid w:val="001D507D"/>
    <w:rsid w:val="001D5367"/>
    <w:rsid w:val="001D650E"/>
    <w:rsid w:val="001D73E9"/>
    <w:rsid w:val="001D7998"/>
    <w:rsid w:val="001D7CB9"/>
    <w:rsid w:val="001E5DBE"/>
    <w:rsid w:val="001E676A"/>
    <w:rsid w:val="001F1C8E"/>
    <w:rsid w:val="001F356C"/>
    <w:rsid w:val="001F3616"/>
    <w:rsid w:val="00200DBF"/>
    <w:rsid w:val="00201EA4"/>
    <w:rsid w:val="002030AC"/>
    <w:rsid w:val="00205407"/>
    <w:rsid w:val="0020596B"/>
    <w:rsid w:val="00205E44"/>
    <w:rsid w:val="002108CF"/>
    <w:rsid w:val="00210B0D"/>
    <w:rsid w:val="00211635"/>
    <w:rsid w:val="0021474E"/>
    <w:rsid w:val="0021688B"/>
    <w:rsid w:val="002175BC"/>
    <w:rsid w:val="00220906"/>
    <w:rsid w:val="0022129E"/>
    <w:rsid w:val="00221D34"/>
    <w:rsid w:val="00222A27"/>
    <w:rsid w:val="002243F3"/>
    <w:rsid w:val="0022470F"/>
    <w:rsid w:val="00230BFA"/>
    <w:rsid w:val="00231B0A"/>
    <w:rsid w:val="002351A0"/>
    <w:rsid w:val="002361B0"/>
    <w:rsid w:val="00237D71"/>
    <w:rsid w:val="0024095E"/>
    <w:rsid w:val="00240C92"/>
    <w:rsid w:val="00241A84"/>
    <w:rsid w:val="00241F95"/>
    <w:rsid w:val="00245A80"/>
    <w:rsid w:val="00246D45"/>
    <w:rsid w:val="002472C6"/>
    <w:rsid w:val="00251A8B"/>
    <w:rsid w:val="00252654"/>
    <w:rsid w:val="00252ABE"/>
    <w:rsid w:val="002551EA"/>
    <w:rsid w:val="00255404"/>
    <w:rsid w:val="002569AB"/>
    <w:rsid w:val="00256AFD"/>
    <w:rsid w:val="00257868"/>
    <w:rsid w:val="00257956"/>
    <w:rsid w:val="00257DA1"/>
    <w:rsid w:val="00260424"/>
    <w:rsid w:val="00260CD4"/>
    <w:rsid w:val="002611E4"/>
    <w:rsid w:val="002617E0"/>
    <w:rsid w:val="00262112"/>
    <w:rsid w:val="002622F5"/>
    <w:rsid w:val="00267941"/>
    <w:rsid w:val="00272D59"/>
    <w:rsid w:val="00273DC2"/>
    <w:rsid w:val="00273EF5"/>
    <w:rsid w:val="00274EF7"/>
    <w:rsid w:val="00275747"/>
    <w:rsid w:val="00277FC8"/>
    <w:rsid w:val="002806F9"/>
    <w:rsid w:val="00280A66"/>
    <w:rsid w:val="00281A18"/>
    <w:rsid w:val="00281E6F"/>
    <w:rsid w:val="002900FC"/>
    <w:rsid w:val="00290779"/>
    <w:rsid w:val="00291C60"/>
    <w:rsid w:val="00291ED5"/>
    <w:rsid w:val="00295E3C"/>
    <w:rsid w:val="0029685A"/>
    <w:rsid w:val="002976D8"/>
    <w:rsid w:val="002A0CD0"/>
    <w:rsid w:val="002A215B"/>
    <w:rsid w:val="002A25A9"/>
    <w:rsid w:val="002A4279"/>
    <w:rsid w:val="002A42A9"/>
    <w:rsid w:val="002A4315"/>
    <w:rsid w:val="002A4D8D"/>
    <w:rsid w:val="002A6AB4"/>
    <w:rsid w:val="002A6ACD"/>
    <w:rsid w:val="002B198A"/>
    <w:rsid w:val="002B2875"/>
    <w:rsid w:val="002B35D9"/>
    <w:rsid w:val="002B7491"/>
    <w:rsid w:val="002C3C28"/>
    <w:rsid w:val="002C4AEC"/>
    <w:rsid w:val="002C4C78"/>
    <w:rsid w:val="002C5BBA"/>
    <w:rsid w:val="002C628C"/>
    <w:rsid w:val="002C6880"/>
    <w:rsid w:val="002D06EB"/>
    <w:rsid w:val="002D07A0"/>
    <w:rsid w:val="002D0814"/>
    <w:rsid w:val="002D4016"/>
    <w:rsid w:val="002D4CC8"/>
    <w:rsid w:val="002D5F2F"/>
    <w:rsid w:val="002D6884"/>
    <w:rsid w:val="002E1303"/>
    <w:rsid w:val="002E22B3"/>
    <w:rsid w:val="002E629D"/>
    <w:rsid w:val="002E6EF0"/>
    <w:rsid w:val="002F05E1"/>
    <w:rsid w:val="002F1EAD"/>
    <w:rsid w:val="002F1F8B"/>
    <w:rsid w:val="002F5537"/>
    <w:rsid w:val="002F724F"/>
    <w:rsid w:val="003033E5"/>
    <w:rsid w:val="00312335"/>
    <w:rsid w:val="00312E32"/>
    <w:rsid w:val="00313B83"/>
    <w:rsid w:val="00313FB3"/>
    <w:rsid w:val="00314DC6"/>
    <w:rsid w:val="0031512E"/>
    <w:rsid w:val="00315F31"/>
    <w:rsid w:val="003179CA"/>
    <w:rsid w:val="003226E5"/>
    <w:rsid w:val="00323325"/>
    <w:rsid w:val="00324DE6"/>
    <w:rsid w:val="0032679D"/>
    <w:rsid w:val="00327269"/>
    <w:rsid w:val="00327380"/>
    <w:rsid w:val="00331737"/>
    <w:rsid w:val="00332BE6"/>
    <w:rsid w:val="00333259"/>
    <w:rsid w:val="00333C7E"/>
    <w:rsid w:val="00336157"/>
    <w:rsid w:val="00340D0B"/>
    <w:rsid w:val="00341283"/>
    <w:rsid w:val="003417A7"/>
    <w:rsid w:val="0034204C"/>
    <w:rsid w:val="00343136"/>
    <w:rsid w:val="003450B8"/>
    <w:rsid w:val="00345A6D"/>
    <w:rsid w:val="00345CF3"/>
    <w:rsid w:val="00346A9C"/>
    <w:rsid w:val="00347798"/>
    <w:rsid w:val="003531F9"/>
    <w:rsid w:val="00354575"/>
    <w:rsid w:val="00354CC3"/>
    <w:rsid w:val="00356722"/>
    <w:rsid w:val="0035693B"/>
    <w:rsid w:val="00356D6B"/>
    <w:rsid w:val="00357EA1"/>
    <w:rsid w:val="00361E28"/>
    <w:rsid w:val="00362C81"/>
    <w:rsid w:val="00363EFE"/>
    <w:rsid w:val="003647DF"/>
    <w:rsid w:val="0036529D"/>
    <w:rsid w:val="00365355"/>
    <w:rsid w:val="00367FFC"/>
    <w:rsid w:val="00370C19"/>
    <w:rsid w:val="00371645"/>
    <w:rsid w:val="00372E3E"/>
    <w:rsid w:val="00372F8F"/>
    <w:rsid w:val="00376261"/>
    <w:rsid w:val="00377602"/>
    <w:rsid w:val="00380579"/>
    <w:rsid w:val="00380FAD"/>
    <w:rsid w:val="00381425"/>
    <w:rsid w:val="0038241F"/>
    <w:rsid w:val="00383B23"/>
    <w:rsid w:val="00385F78"/>
    <w:rsid w:val="00386341"/>
    <w:rsid w:val="0038781F"/>
    <w:rsid w:val="00390728"/>
    <w:rsid w:val="00391666"/>
    <w:rsid w:val="00391917"/>
    <w:rsid w:val="00393D84"/>
    <w:rsid w:val="003957D0"/>
    <w:rsid w:val="003963ED"/>
    <w:rsid w:val="003973FE"/>
    <w:rsid w:val="00397CFB"/>
    <w:rsid w:val="003A0A12"/>
    <w:rsid w:val="003A51F8"/>
    <w:rsid w:val="003B0CF1"/>
    <w:rsid w:val="003B35CC"/>
    <w:rsid w:val="003B3D60"/>
    <w:rsid w:val="003B3D6A"/>
    <w:rsid w:val="003B3F7B"/>
    <w:rsid w:val="003B3FD9"/>
    <w:rsid w:val="003B4101"/>
    <w:rsid w:val="003B6538"/>
    <w:rsid w:val="003C1361"/>
    <w:rsid w:val="003C1CD4"/>
    <w:rsid w:val="003C308F"/>
    <w:rsid w:val="003C6D48"/>
    <w:rsid w:val="003C75B9"/>
    <w:rsid w:val="003C7AAF"/>
    <w:rsid w:val="003D0BC1"/>
    <w:rsid w:val="003D54C5"/>
    <w:rsid w:val="003D5D8F"/>
    <w:rsid w:val="003E04D1"/>
    <w:rsid w:val="003E06DD"/>
    <w:rsid w:val="003E07BC"/>
    <w:rsid w:val="003E0DD2"/>
    <w:rsid w:val="003E1A0D"/>
    <w:rsid w:val="003E2CDB"/>
    <w:rsid w:val="003E4250"/>
    <w:rsid w:val="003E44D4"/>
    <w:rsid w:val="003E5936"/>
    <w:rsid w:val="003E7002"/>
    <w:rsid w:val="003F13BE"/>
    <w:rsid w:val="003F2CAE"/>
    <w:rsid w:val="003F4A58"/>
    <w:rsid w:val="003F7295"/>
    <w:rsid w:val="00403A32"/>
    <w:rsid w:val="00404AFA"/>
    <w:rsid w:val="00404CED"/>
    <w:rsid w:val="00406D1C"/>
    <w:rsid w:val="00406F49"/>
    <w:rsid w:val="004129F1"/>
    <w:rsid w:val="00413179"/>
    <w:rsid w:val="00414067"/>
    <w:rsid w:val="004164AE"/>
    <w:rsid w:val="004178B9"/>
    <w:rsid w:val="00421DBA"/>
    <w:rsid w:val="0042444E"/>
    <w:rsid w:val="004250BD"/>
    <w:rsid w:val="0042677B"/>
    <w:rsid w:val="00427FA2"/>
    <w:rsid w:val="004310EA"/>
    <w:rsid w:val="004311BB"/>
    <w:rsid w:val="004318F8"/>
    <w:rsid w:val="00433AD9"/>
    <w:rsid w:val="0043719A"/>
    <w:rsid w:val="004405D9"/>
    <w:rsid w:val="0044490C"/>
    <w:rsid w:val="004466EE"/>
    <w:rsid w:val="00447018"/>
    <w:rsid w:val="00451E52"/>
    <w:rsid w:val="00452C80"/>
    <w:rsid w:val="00457A1B"/>
    <w:rsid w:val="0046029C"/>
    <w:rsid w:val="004619B3"/>
    <w:rsid w:val="004631D1"/>
    <w:rsid w:val="00463569"/>
    <w:rsid w:val="0046397C"/>
    <w:rsid w:val="00467232"/>
    <w:rsid w:val="00470B7E"/>
    <w:rsid w:val="0047290D"/>
    <w:rsid w:val="00472B65"/>
    <w:rsid w:val="00474129"/>
    <w:rsid w:val="00476945"/>
    <w:rsid w:val="00476948"/>
    <w:rsid w:val="00481654"/>
    <w:rsid w:val="00481D53"/>
    <w:rsid w:val="00481E06"/>
    <w:rsid w:val="00482616"/>
    <w:rsid w:val="00482A12"/>
    <w:rsid w:val="00484592"/>
    <w:rsid w:val="00484EAE"/>
    <w:rsid w:val="00485956"/>
    <w:rsid w:val="004862D4"/>
    <w:rsid w:val="004905DB"/>
    <w:rsid w:val="004907E4"/>
    <w:rsid w:val="004919B3"/>
    <w:rsid w:val="00496133"/>
    <w:rsid w:val="004966B8"/>
    <w:rsid w:val="00497A25"/>
    <w:rsid w:val="004A07A7"/>
    <w:rsid w:val="004A13C9"/>
    <w:rsid w:val="004A254E"/>
    <w:rsid w:val="004A567B"/>
    <w:rsid w:val="004A74F2"/>
    <w:rsid w:val="004B00B4"/>
    <w:rsid w:val="004B3732"/>
    <w:rsid w:val="004B4BA2"/>
    <w:rsid w:val="004B58CB"/>
    <w:rsid w:val="004B7FC8"/>
    <w:rsid w:val="004C0083"/>
    <w:rsid w:val="004C3107"/>
    <w:rsid w:val="004C3A69"/>
    <w:rsid w:val="004C3F12"/>
    <w:rsid w:val="004C4E73"/>
    <w:rsid w:val="004C5F26"/>
    <w:rsid w:val="004D0DE9"/>
    <w:rsid w:val="004D13BF"/>
    <w:rsid w:val="004D21DD"/>
    <w:rsid w:val="004D346B"/>
    <w:rsid w:val="004D3AF9"/>
    <w:rsid w:val="004D3F3E"/>
    <w:rsid w:val="004D51AB"/>
    <w:rsid w:val="004D5713"/>
    <w:rsid w:val="004E06FD"/>
    <w:rsid w:val="004E0CC6"/>
    <w:rsid w:val="004E150C"/>
    <w:rsid w:val="004E1805"/>
    <w:rsid w:val="004E5E00"/>
    <w:rsid w:val="004F0F37"/>
    <w:rsid w:val="004F1F5E"/>
    <w:rsid w:val="004F2EBC"/>
    <w:rsid w:val="004F4D27"/>
    <w:rsid w:val="004F58C5"/>
    <w:rsid w:val="004F5D44"/>
    <w:rsid w:val="004F5D83"/>
    <w:rsid w:val="004F7500"/>
    <w:rsid w:val="0050050A"/>
    <w:rsid w:val="00501F7C"/>
    <w:rsid w:val="005027AA"/>
    <w:rsid w:val="00502F63"/>
    <w:rsid w:val="0050767F"/>
    <w:rsid w:val="0051013B"/>
    <w:rsid w:val="00510E27"/>
    <w:rsid w:val="0051352D"/>
    <w:rsid w:val="00513F30"/>
    <w:rsid w:val="00514DC1"/>
    <w:rsid w:val="00515665"/>
    <w:rsid w:val="00517719"/>
    <w:rsid w:val="005227D7"/>
    <w:rsid w:val="00522EC3"/>
    <w:rsid w:val="00523AB7"/>
    <w:rsid w:val="00524BCD"/>
    <w:rsid w:val="00525058"/>
    <w:rsid w:val="00526D9D"/>
    <w:rsid w:val="0052756C"/>
    <w:rsid w:val="00537DF7"/>
    <w:rsid w:val="005413F9"/>
    <w:rsid w:val="00541727"/>
    <w:rsid w:val="005424C1"/>
    <w:rsid w:val="0054319B"/>
    <w:rsid w:val="0054669A"/>
    <w:rsid w:val="005467F4"/>
    <w:rsid w:val="00547065"/>
    <w:rsid w:val="00550CA7"/>
    <w:rsid w:val="00553C0F"/>
    <w:rsid w:val="00554CAF"/>
    <w:rsid w:val="005557DB"/>
    <w:rsid w:val="005572FD"/>
    <w:rsid w:val="005578BB"/>
    <w:rsid w:val="005671FC"/>
    <w:rsid w:val="005701C0"/>
    <w:rsid w:val="00571CD6"/>
    <w:rsid w:val="00571EFF"/>
    <w:rsid w:val="00572595"/>
    <w:rsid w:val="00572F6E"/>
    <w:rsid w:val="005745C9"/>
    <w:rsid w:val="005775A9"/>
    <w:rsid w:val="005777C4"/>
    <w:rsid w:val="00577D76"/>
    <w:rsid w:val="00577F6A"/>
    <w:rsid w:val="00580451"/>
    <w:rsid w:val="00581BE2"/>
    <w:rsid w:val="00582367"/>
    <w:rsid w:val="00584AF5"/>
    <w:rsid w:val="005864F6"/>
    <w:rsid w:val="00586B8F"/>
    <w:rsid w:val="00591EA4"/>
    <w:rsid w:val="005925D4"/>
    <w:rsid w:val="00593677"/>
    <w:rsid w:val="00595EC0"/>
    <w:rsid w:val="005A17F8"/>
    <w:rsid w:val="005A385F"/>
    <w:rsid w:val="005A3E8F"/>
    <w:rsid w:val="005A5703"/>
    <w:rsid w:val="005B39F2"/>
    <w:rsid w:val="005B600D"/>
    <w:rsid w:val="005B7E38"/>
    <w:rsid w:val="005C0A91"/>
    <w:rsid w:val="005C17F9"/>
    <w:rsid w:val="005C357B"/>
    <w:rsid w:val="005C4287"/>
    <w:rsid w:val="005C4EE1"/>
    <w:rsid w:val="005C6E02"/>
    <w:rsid w:val="005D4344"/>
    <w:rsid w:val="005D46D9"/>
    <w:rsid w:val="005D5E58"/>
    <w:rsid w:val="005D6BB0"/>
    <w:rsid w:val="005D6D19"/>
    <w:rsid w:val="005D702F"/>
    <w:rsid w:val="005E095C"/>
    <w:rsid w:val="005E28C1"/>
    <w:rsid w:val="005E36DB"/>
    <w:rsid w:val="005E3761"/>
    <w:rsid w:val="005E44D7"/>
    <w:rsid w:val="005E5BF3"/>
    <w:rsid w:val="005E69E5"/>
    <w:rsid w:val="005E795C"/>
    <w:rsid w:val="005F03CF"/>
    <w:rsid w:val="005F08A7"/>
    <w:rsid w:val="005F2F62"/>
    <w:rsid w:val="005F6B9C"/>
    <w:rsid w:val="006008C3"/>
    <w:rsid w:val="00600F03"/>
    <w:rsid w:val="006018DE"/>
    <w:rsid w:val="00601F0B"/>
    <w:rsid w:val="006056DD"/>
    <w:rsid w:val="006057F4"/>
    <w:rsid w:val="00606D61"/>
    <w:rsid w:val="00607A8F"/>
    <w:rsid w:val="006110D3"/>
    <w:rsid w:val="00611563"/>
    <w:rsid w:val="006116F0"/>
    <w:rsid w:val="0061452E"/>
    <w:rsid w:val="006152EB"/>
    <w:rsid w:val="00617029"/>
    <w:rsid w:val="00621004"/>
    <w:rsid w:val="00624A80"/>
    <w:rsid w:val="006262DC"/>
    <w:rsid w:val="00627382"/>
    <w:rsid w:val="00630552"/>
    <w:rsid w:val="00631A07"/>
    <w:rsid w:val="0063308B"/>
    <w:rsid w:val="006356F4"/>
    <w:rsid w:val="00637E38"/>
    <w:rsid w:val="00640206"/>
    <w:rsid w:val="00640C92"/>
    <w:rsid w:val="00640D1A"/>
    <w:rsid w:val="006450E0"/>
    <w:rsid w:val="00646AFA"/>
    <w:rsid w:val="00647188"/>
    <w:rsid w:val="00647836"/>
    <w:rsid w:val="00650745"/>
    <w:rsid w:val="00650B4B"/>
    <w:rsid w:val="0065179C"/>
    <w:rsid w:val="00651892"/>
    <w:rsid w:val="00654AF4"/>
    <w:rsid w:val="00655372"/>
    <w:rsid w:val="0065616D"/>
    <w:rsid w:val="00656447"/>
    <w:rsid w:val="006570B2"/>
    <w:rsid w:val="006606D5"/>
    <w:rsid w:val="0066239D"/>
    <w:rsid w:val="0066564B"/>
    <w:rsid w:val="00665B0B"/>
    <w:rsid w:val="0066643F"/>
    <w:rsid w:val="00666A1C"/>
    <w:rsid w:val="00667088"/>
    <w:rsid w:val="00667158"/>
    <w:rsid w:val="0066743D"/>
    <w:rsid w:val="00667D81"/>
    <w:rsid w:val="00670113"/>
    <w:rsid w:val="00674072"/>
    <w:rsid w:val="00674810"/>
    <w:rsid w:val="00677B68"/>
    <w:rsid w:val="00680A9C"/>
    <w:rsid w:val="00681069"/>
    <w:rsid w:val="00681617"/>
    <w:rsid w:val="00681BA0"/>
    <w:rsid w:val="00681E75"/>
    <w:rsid w:val="0068348F"/>
    <w:rsid w:val="00683977"/>
    <w:rsid w:val="006851E7"/>
    <w:rsid w:val="00687822"/>
    <w:rsid w:val="006903AD"/>
    <w:rsid w:val="00691E4E"/>
    <w:rsid w:val="00692FD0"/>
    <w:rsid w:val="00695665"/>
    <w:rsid w:val="006A11D2"/>
    <w:rsid w:val="006A45D7"/>
    <w:rsid w:val="006A58A8"/>
    <w:rsid w:val="006A69FB"/>
    <w:rsid w:val="006A7462"/>
    <w:rsid w:val="006A769A"/>
    <w:rsid w:val="006A791B"/>
    <w:rsid w:val="006B0001"/>
    <w:rsid w:val="006B10C1"/>
    <w:rsid w:val="006B1257"/>
    <w:rsid w:val="006B289F"/>
    <w:rsid w:val="006B393E"/>
    <w:rsid w:val="006B4F9B"/>
    <w:rsid w:val="006B4FFE"/>
    <w:rsid w:val="006B544C"/>
    <w:rsid w:val="006C143A"/>
    <w:rsid w:val="006C2C1D"/>
    <w:rsid w:val="006C30BD"/>
    <w:rsid w:val="006C41F0"/>
    <w:rsid w:val="006C5623"/>
    <w:rsid w:val="006C67CC"/>
    <w:rsid w:val="006C6D95"/>
    <w:rsid w:val="006C75D9"/>
    <w:rsid w:val="006D168E"/>
    <w:rsid w:val="006D1A7C"/>
    <w:rsid w:val="006E0AB7"/>
    <w:rsid w:val="006E16AF"/>
    <w:rsid w:val="006E2EA5"/>
    <w:rsid w:val="006E6A22"/>
    <w:rsid w:val="006E6BDA"/>
    <w:rsid w:val="006E6E10"/>
    <w:rsid w:val="006E7483"/>
    <w:rsid w:val="006E7B8C"/>
    <w:rsid w:val="006F03DC"/>
    <w:rsid w:val="006F06D5"/>
    <w:rsid w:val="006F1C43"/>
    <w:rsid w:val="006F1D84"/>
    <w:rsid w:val="006F481C"/>
    <w:rsid w:val="006F5381"/>
    <w:rsid w:val="006F67B5"/>
    <w:rsid w:val="006F67B9"/>
    <w:rsid w:val="007004FB"/>
    <w:rsid w:val="0070093F"/>
    <w:rsid w:val="00702288"/>
    <w:rsid w:val="007045A2"/>
    <w:rsid w:val="007049DF"/>
    <w:rsid w:val="00704C7E"/>
    <w:rsid w:val="00705B10"/>
    <w:rsid w:val="00706078"/>
    <w:rsid w:val="007103A1"/>
    <w:rsid w:val="0071052E"/>
    <w:rsid w:val="00710B78"/>
    <w:rsid w:val="00711AAB"/>
    <w:rsid w:val="00716064"/>
    <w:rsid w:val="0071790D"/>
    <w:rsid w:val="00721797"/>
    <w:rsid w:val="007225D5"/>
    <w:rsid w:val="0072321A"/>
    <w:rsid w:val="0072633C"/>
    <w:rsid w:val="00726D3E"/>
    <w:rsid w:val="007302BA"/>
    <w:rsid w:val="00731324"/>
    <w:rsid w:val="00731F4C"/>
    <w:rsid w:val="00733B54"/>
    <w:rsid w:val="007369A7"/>
    <w:rsid w:val="0073733B"/>
    <w:rsid w:val="007423D3"/>
    <w:rsid w:val="00743C43"/>
    <w:rsid w:val="00747C1C"/>
    <w:rsid w:val="0075072A"/>
    <w:rsid w:val="0075132A"/>
    <w:rsid w:val="00751540"/>
    <w:rsid w:val="00752466"/>
    <w:rsid w:val="0076102E"/>
    <w:rsid w:val="00761279"/>
    <w:rsid w:val="00763267"/>
    <w:rsid w:val="00763935"/>
    <w:rsid w:val="00764863"/>
    <w:rsid w:val="00766766"/>
    <w:rsid w:val="00766E9A"/>
    <w:rsid w:val="00767F56"/>
    <w:rsid w:val="00771399"/>
    <w:rsid w:val="007722E0"/>
    <w:rsid w:val="00772B47"/>
    <w:rsid w:val="007735CE"/>
    <w:rsid w:val="00775AEE"/>
    <w:rsid w:val="00775C93"/>
    <w:rsid w:val="007765FA"/>
    <w:rsid w:val="00782B70"/>
    <w:rsid w:val="00785F41"/>
    <w:rsid w:val="0079112B"/>
    <w:rsid w:val="00791620"/>
    <w:rsid w:val="00792086"/>
    <w:rsid w:val="007920F8"/>
    <w:rsid w:val="00793BCF"/>
    <w:rsid w:val="0079457C"/>
    <w:rsid w:val="00795BEC"/>
    <w:rsid w:val="0079670E"/>
    <w:rsid w:val="00796CC1"/>
    <w:rsid w:val="007A0A9A"/>
    <w:rsid w:val="007A1F54"/>
    <w:rsid w:val="007A36AE"/>
    <w:rsid w:val="007A405A"/>
    <w:rsid w:val="007A55E8"/>
    <w:rsid w:val="007B22C2"/>
    <w:rsid w:val="007B269F"/>
    <w:rsid w:val="007B277B"/>
    <w:rsid w:val="007B2C88"/>
    <w:rsid w:val="007B34F4"/>
    <w:rsid w:val="007B45C0"/>
    <w:rsid w:val="007B482E"/>
    <w:rsid w:val="007B6133"/>
    <w:rsid w:val="007C2408"/>
    <w:rsid w:val="007C2F7F"/>
    <w:rsid w:val="007C31EC"/>
    <w:rsid w:val="007D188D"/>
    <w:rsid w:val="007D19AB"/>
    <w:rsid w:val="007D2C73"/>
    <w:rsid w:val="007D5BBC"/>
    <w:rsid w:val="007D5F39"/>
    <w:rsid w:val="007D61E0"/>
    <w:rsid w:val="007E11AD"/>
    <w:rsid w:val="007E2E5B"/>
    <w:rsid w:val="007E5C75"/>
    <w:rsid w:val="007F0ED5"/>
    <w:rsid w:val="007F1327"/>
    <w:rsid w:val="007F4FC8"/>
    <w:rsid w:val="007F7252"/>
    <w:rsid w:val="007F7B11"/>
    <w:rsid w:val="007F7FD2"/>
    <w:rsid w:val="00800A84"/>
    <w:rsid w:val="008017DF"/>
    <w:rsid w:val="00802716"/>
    <w:rsid w:val="00805A39"/>
    <w:rsid w:val="0080625E"/>
    <w:rsid w:val="00807BFF"/>
    <w:rsid w:val="00807D02"/>
    <w:rsid w:val="008111F7"/>
    <w:rsid w:val="00812E06"/>
    <w:rsid w:val="008135DC"/>
    <w:rsid w:val="0082165C"/>
    <w:rsid w:val="0082186D"/>
    <w:rsid w:val="008222C1"/>
    <w:rsid w:val="00822FC9"/>
    <w:rsid w:val="0082658D"/>
    <w:rsid w:val="008279E8"/>
    <w:rsid w:val="008327DC"/>
    <w:rsid w:val="00833275"/>
    <w:rsid w:val="00833FFC"/>
    <w:rsid w:val="00834AD8"/>
    <w:rsid w:val="00835582"/>
    <w:rsid w:val="00835EE2"/>
    <w:rsid w:val="008422F1"/>
    <w:rsid w:val="0084433C"/>
    <w:rsid w:val="008465E5"/>
    <w:rsid w:val="00850D0B"/>
    <w:rsid w:val="00851130"/>
    <w:rsid w:val="00855D79"/>
    <w:rsid w:val="008561B5"/>
    <w:rsid w:val="00860F43"/>
    <w:rsid w:val="00863DA3"/>
    <w:rsid w:val="00865E53"/>
    <w:rsid w:val="00866C54"/>
    <w:rsid w:val="00866D1E"/>
    <w:rsid w:val="00867489"/>
    <w:rsid w:val="008674D2"/>
    <w:rsid w:val="0087026F"/>
    <w:rsid w:val="008709D2"/>
    <w:rsid w:val="00871DF4"/>
    <w:rsid w:val="00872946"/>
    <w:rsid w:val="00875A0D"/>
    <w:rsid w:val="0088061E"/>
    <w:rsid w:val="00880D66"/>
    <w:rsid w:val="008820DE"/>
    <w:rsid w:val="00884D27"/>
    <w:rsid w:val="008857ED"/>
    <w:rsid w:val="008871EB"/>
    <w:rsid w:val="00887226"/>
    <w:rsid w:val="0089160B"/>
    <w:rsid w:val="0089290B"/>
    <w:rsid w:val="00897651"/>
    <w:rsid w:val="00897CDC"/>
    <w:rsid w:val="008A33B9"/>
    <w:rsid w:val="008A3659"/>
    <w:rsid w:val="008A373D"/>
    <w:rsid w:val="008A4FFC"/>
    <w:rsid w:val="008A63EB"/>
    <w:rsid w:val="008B0240"/>
    <w:rsid w:val="008B03DB"/>
    <w:rsid w:val="008B4894"/>
    <w:rsid w:val="008B709D"/>
    <w:rsid w:val="008B7773"/>
    <w:rsid w:val="008C063A"/>
    <w:rsid w:val="008C5F87"/>
    <w:rsid w:val="008C626B"/>
    <w:rsid w:val="008C66F0"/>
    <w:rsid w:val="008D0564"/>
    <w:rsid w:val="008D1777"/>
    <w:rsid w:val="008D234A"/>
    <w:rsid w:val="008D68E8"/>
    <w:rsid w:val="008D7D93"/>
    <w:rsid w:val="008E03F6"/>
    <w:rsid w:val="008E0CAB"/>
    <w:rsid w:val="008E2992"/>
    <w:rsid w:val="008E3304"/>
    <w:rsid w:val="008E5BF7"/>
    <w:rsid w:val="008F2A25"/>
    <w:rsid w:val="00902AE1"/>
    <w:rsid w:val="00902E9F"/>
    <w:rsid w:val="00904576"/>
    <w:rsid w:val="00904812"/>
    <w:rsid w:val="00904827"/>
    <w:rsid w:val="00906CCF"/>
    <w:rsid w:val="00907A4E"/>
    <w:rsid w:val="00911265"/>
    <w:rsid w:val="009129E6"/>
    <w:rsid w:val="00914853"/>
    <w:rsid w:val="00915C5C"/>
    <w:rsid w:val="0091748B"/>
    <w:rsid w:val="00917A45"/>
    <w:rsid w:val="00917CBE"/>
    <w:rsid w:val="00921329"/>
    <w:rsid w:val="00921571"/>
    <w:rsid w:val="00922BDC"/>
    <w:rsid w:val="00923485"/>
    <w:rsid w:val="009247B1"/>
    <w:rsid w:val="00924932"/>
    <w:rsid w:val="0092725B"/>
    <w:rsid w:val="00927291"/>
    <w:rsid w:val="00930690"/>
    <w:rsid w:val="009308EF"/>
    <w:rsid w:val="009310E5"/>
    <w:rsid w:val="00931AB5"/>
    <w:rsid w:val="00932263"/>
    <w:rsid w:val="00932E18"/>
    <w:rsid w:val="00933285"/>
    <w:rsid w:val="00937694"/>
    <w:rsid w:val="009429D3"/>
    <w:rsid w:val="0094342C"/>
    <w:rsid w:val="00944A71"/>
    <w:rsid w:val="00946650"/>
    <w:rsid w:val="009530A8"/>
    <w:rsid w:val="00953650"/>
    <w:rsid w:val="00955CE8"/>
    <w:rsid w:val="00956638"/>
    <w:rsid w:val="009603E3"/>
    <w:rsid w:val="00961AB2"/>
    <w:rsid w:val="009625E7"/>
    <w:rsid w:val="00970DFF"/>
    <w:rsid w:val="0097520D"/>
    <w:rsid w:val="00981FEF"/>
    <w:rsid w:val="00985465"/>
    <w:rsid w:val="00985DAA"/>
    <w:rsid w:val="0098691F"/>
    <w:rsid w:val="0098730F"/>
    <w:rsid w:val="009916C1"/>
    <w:rsid w:val="0099191B"/>
    <w:rsid w:val="009923B1"/>
    <w:rsid w:val="00992A4E"/>
    <w:rsid w:val="009937BD"/>
    <w:rsid w:val="009941FB"/>
    <w:rsid w:val="0099464B"/>
    <w:rsid w:val="00994E69"/>
    <w:rsid w:val="00996B4B"/>
    <w:rsid w:val="00996CE7"/>
    <w:rsid w:val="009978CA"/>
    <w:rsid w:val="009A07D4"/>
    <w:rsid w:val="009A1249"/>
    <w:rsid w:val="009A1530"/>
    <w:rsid w:val="009A23DC"/>
    <w:rsid w:val="009A2B66"/>
    <w:rsid w:val="009A3532"/>
    <w:rsid w:val="009A5213"/>
    <w:rsid w:val="009A5BED"/>
    <w:rsid w:val="009A6EE2"/>
    <w:rsid w:val="009B2762"/>
    <w:rsid w:val="009B32ED"/>
    <w:rsid w:val="009B33C7"/>
    <w:rsid w:val="009B429A"/>
    <w:rsid w:val="009B47E0"/>
    <w:rsid w:val="009C41F9"/>
    <w:rsid w:val="009C46D6"/>
    <w:rsid w:val="009C71F0"/>
    <w:rsid w:val="009D203F"/>
    <w:rsid w:val="009D2105"/>
    <w:rsid w:val="009D2C0D"/>
    <w:rsid w:val="009D34EA"/>
    <w:rsid w:val="009D423F"/>
    <w:rsid w:val="009D6E64"/>
    <w:rsid w:val="009D6E6B"/>
    <w:rsid w:val="009E4030"/>
    <w:rsid w:val="009E40FF"/>
    <w:rsid w:val="009F03B8"/>
    <w:rsid w:val="009F0750"/>
    <w:rsid w:val="009F1813"/>
    <w:rsid w:val="009F4002"/>
    <w:rsid w:val="009F47D2"/>
    <w:rsid w:val="009F6F3A"/>
    <w:rsid w:val="00A00A9A"/>
    <w:rsid w:val="00A02493"/>
    <w:rsid w:val="00A02F6D"/>
    <w:rsid w:val="00A02F9D"/>
    <w:rsid w:val="00A0457D"/>
    <w:rsid w:val="00A045E9"/>
    <w:rsid w:val="00A048AB"/>
    <w:rsid w:val="00A04D3C"/>
    <w:rsid w:val="00A07CC8"/>
    <w:rsid w:val="00A1111A"/>
    <w:rsid w:val="00A12133"/>
    <w:rsid w:val="00A12786"/>
    <w:rsid w:val="00A12B20"/>
    <w:rsid w:val="00A12DF5"/>
    <w:rsid w:val="00A13AC2"/>
    <w:rsid w:val="00A14079"/>
    <w:rsid w:val="00A140C9"/>
    <w:rsid w:val="00A17005"/>
    <w:rsid w:val="00A171C3"/>
    <w:rsid w:val="00A17D87"/>
    <w:rsid w:val="00A21E08"/>
    <w:rsid w:val="00A22519"/>
    <w:rsid w:val="00A22F16"/>
    <w:rsid w:val="00A22F47"/>
    <w:rsid w:val="00A23F3F"/>
    <w:rsid w:val="00A24959"/>
    <w:rsid w:val="00A308A1"/>
    <w:rsid w:val="00A3203B"/>
    <w:rsid w:val="00A35DAE"/>
    <w:rsid w:val="00A36622"/>
    <w:rsid w:val="00A3770D"/>
    <w:rsid w:val="00A40EC4"/>
    <w:rsid w:val="00A506DB"/>
    <w:rsid w:val="00A50F5C"/>
    <w:rsid w:val="00A52043"/>
    <w:rsid w:val="00A52393"/>
    <w:rsid w:val="00A5297B"/>
    <w:rsid w:val="00A529BA"/>
    <w:rsid w:val="00A52C26"/>
    <w:rsid w:val="00A52D16"/>
    <w:rsid w:val="00A530F4"/>
    <w:rsid w:val="00A603AA"/>
    <w:rsid w:val="00A60F66"/>
    <w:rsid w:val="00A619B4"/>
    <w:rsid w:val="00A632FA"/>
    <w:rsid w:val="00A659E1"/>
    <w:rsid w:val="00A67080"/>
    <w:rsid w:val="00A70504"/>
    <w:rsid w:val="00A717B6"/>
    <w:rsid w:val="00A76492"/>
    <w:rsid w:val="00A765AE"/>
    <w:rsid w:val="00A7732A"/>
    <w:rsid w:val="00A77E8F"/>
    <w:rsid w:val="00A82555"/>
    <w:rsid w:val="00A8285C"/>
    <w:rsid w:val="00A854F0"/>
    <w:rsid w:val="00A857E5"/>
    <w:rsid w:val="00A93808"/>
    <w:rsid w:val="00A93C16"/>
    <w:rsid w:val="00A93D6D"/>
    <w:rsid w:val="00A94562"/>
    <w:rsid w:val="00A964D7"/>
    <w:rsid w:val="00A9656B"/>
    <w:rsid w:val="00AA18B9"/>
    <w:rsid w:val="00AA1D3A"/>
    <w:rsid w:val="00AA4F9F"/>
    <w:rsid w:val="00AA6108"/>
    <w:rsid w:val="00AA6979"/>
    <w:rsid w:val="00AA7E65"/>
    <w:rsid w:val="00AB1564"/>
    <w:rsid w:val="00AB4092"/>
    <w:rsid w:val="00AB5418"/>
    <w:rsid w:val="00AB7A9D"/>
    <w:rsid w:val="00AC12FB"/>
    <w:rsid w:val="00AC221E"/>
    <w:rsid w:val="00AC2991"/>
    <w:rsid w:val="00AC3F68"/>
    <w:rsid w:val="00AC513B"/>
    <w:rsid w:val="00AC55AE"/>
    <w:rsid w:val="00AC597A"/>
    <w:rsid w:val="00AC5DDB"/>
    <w:rsid w:val="00AC6B59"/>
    <w:rsid w:val="00AD0171"/>
    <w:rsid w:val="00AD104E"/>
    <w:rsid w:val="00AD272A"/>
    <w:rsid w:val="00AD29D7"/>
    <w:rsid w:val="00AD2D09"/>
    <w:rsid w:val="00AD320C"/>
    <w:rsid w:val="00AD34A3"/>
    <w:rsid w:val="00AD3AAF"/>
    <w:rsid w:val="00AE070A"/>
    <w:rsid w:val="00AE6205"/>
    <w:rsid w:val="00AE62CD"/>
    <w:rsid w:val="00AE6570"/>
    <w:rsid w:val="00AE69E8"/>
    <w:rsid w:val="00AE6AB5"/>
    <w:rsid w:val="00AF1DA6"/>
    <w:rsid w:val="00AF227A"/>
    <w:rsid w:val="00AF4B11"/>
    <w:rsid w:val="00AF5B2E"/>
    <w:rsid w:val="00AF6012"/>
    <w:rsid w:val="00B00159"/>
    <w:rsid w:val="00B0055C"/>
    <w:rsid w:val="00B007CF"/>
    <w:rsid w:val="00B0213E"/>
    <w:rsid w:val="00B02A55"/>
    <w:rsid w:val="00B02C31"/>
    <w:rsid w:val="00B049E1"/>
    <w:rsid w:val="00B05136"/>
    <w:rsid w:val="00B05A85"/>
    <w:rsid w:val="00B0610F"/>
    <w:rsid w:val="00B106EB"/>
    <w:rsid w:val="00B122C2"/>
    <w:rsid w:val="00B12EE1"/>
    <w:rsid w:val="00B13D6A"/>
    <w:rsid w:val="00B15A3A"/>
    <w:rsid w:val="00B2385C"/>
    <w:rsid w:val="00B25366"/>
    <w:rsid w:val="00B25FCC"/>
    <w:rsid w:val="00B2686C"/>
    <w:rsid w:val="00B27F16"/>
    <w:rsid w:val="00B30731"/>
    <w:rsid w:val="00B3136B"/>
    <w:rsid w:val="00B31CF0"/>
    <w:rsid w:val="00B34542"/>
    <w:rsid w:val="00B35C03"/>
    <w:rsid w:val="00B4202E"/>
    <w:rsid w:val="00B43025"/>
    <w:rsid w:val="00B45009"/>
    <w:rsid w:val="00B451CE"/>
    <w:rsid w:val="00B45BF8"/>
    <w:rsid w:val="00B5305A"/>
    <w:rsid w:val="00B55454"/>
    <w:rsid w:val="00B554DF"/>
    <w:rsid w:val="00B554F1"/>
    <w:rsid w:val="00B5675B"/>
    <w:rsid w:val="00B57377"/>
    <w:rsid w:val="00B61DDB"/>
    <w:rsid w:val="00B6275C"/>
    <w:rsid w:val="00B632CB"/>
    <w:rsid w:val="00B6522F"/>
    <w:rsid w:val="00B66DED"/>
    <w:rsid w:val="00B67301"/>
    <w:rsid w:val="00B70299"/>
    <w:rsid w:val="00B71DE6"/>
    <w:rsid w:val="00B74756"/>
    <w:rsid w:val="00B75F06"/>
    <w:rsid w:val="00B7609C"/>
    <w:rsid w:val="00B76ADD"/>
    <w:rsid w:val="00B77F45"/>
    <w:rsid w:val="00B77F91"/>
    <w:rsid w:val="00B82C9A"/>
    <w:rsid w:val="00B834C1"/>
    <w:rsid w:val="00B83695"/>
    <w:rsid w:val="00B85951"/>
    <w:rsid w:val="00B85AE8"/>
    <w:rsid w:val="00B90A7E"/>
    <w:rsid w:val="00B93824"/>
    <w:rsid w:val="00B95496"/>
    <w:rsid w:val="00B95691"/>
    <w:rsid w:val="00BA06FB"/>
    <w:rsid w:val="00BA0A6B"/>
    <w:rsid w:val="00BA442B"/>
    <w:rsid w:val="00BA4688"/>
    <w:rsid w:val="00BA480E"/>
    <w:rsid w:val="00BA5AF3"/>
    <w:rsid w:val="00BA5F15"/>
    <w:rsid w:val="00BA6754"/>
    <w:rsid w:val="00BA736C"/>
    <w:rsid w:val="00BA7CCD"/>
    <w:rsid w:val="00BB13BE"/>
    <w:rsid w:val="00BB1DC0"/>
    <w:rsid w:val="00BB2853"/>
    <w:rsid w:val="00BB58B2"/>
    <w:rsid w:val="00BB6199"/>
    <w:rsid w:val="00BC0B51"/>
    <w:rsid w:val="00BC17F5"/>
    <w:rsid w:val="00BC4C4F"/>
    <w:rsid w:val="00BC62A0"/>
    <w:rsid w:val="00BC6455"/>
    <w:rsid w:val="00BC6F09"/>
    <w:rsid w:val="00BC7849"/>
    <w:rsid w:val="00BD20D5"/>
    <w:rsid w:val="00BD2CCC"/>
    <w:rsid w:val="00BD2CE2"/>
    <w:rsid w:val="00BD3DD5"/>
    <w:rsid w:val="00BD6771"/>
    <w:rsid w:val="00BD6F7F"/>
    <w:rsid w:val="00BD786B"/>
    <w:rsid w:val="00BD7E75"/>
    <w:rsid w:val="00BE265D"/>
    <w:rsid w:val="00BE31C9"/>
    <w:rsid w:val="00BE5C21"/>
    <w:rsid w:val="00BE6D1A"/>
    <w:rsid w:val="00BE7046"/>
    <w:rsid w:val="00BF1411"/>
    <w:rsid w:val="00BF26E7"/>
    <w:rsid w:val="00BF2A66"/>
    <w:rsid w:val="00BF2F7A"/>
    <w:rsid w:val="00BF3039"/>
    <w:rsid w:val="00BF607E"/>
    <w:rsid w:val="00BF60AE"/>
    <w:rsid w:val="00C02A9B"/>
    <w:rsid w:val="00C02C28"/>
    <w:rsid w:val="00C038D4"/>
    <w:rsid w:val="00C0483C"/>
    <w:rsid w:val="00C0629B"/>
    <w:rsid w:val="00C06E69"/>
    <w:rsid w:val="00C07257"/>
    <w:rsid w:val="00C103F7"/>
    <w:rsid w:val="00C122EE"/>
    <w:rsid w:val="00C12728"/>
    <w:rsid w:val="00C12FF7"/>
    <w:rsid w:val="00C14A44"/>
    <w:rsid w:val="00C14F14"/>
    <w:rsid w:val="00C14FDC"/>
    <w:rsid w:val="00C150ED"/>
    <w:rsid w:val="00C15C81"/>
    <w:rsid w:val="00C25F84"/>
    <w:rsid w:val="00C2602F"/>
    <w:rsid w:val="00C33C31"/>
    <w:rsid w:val="00C35188"/>
    <w:rsid w:val="00C35716"/>
    <w:rsid w:val="00C369E1"/>
    <w:rsid w:val="00C42C59"/>
    <w:rsid w:val="00C43BD5"/>
    <w:rsid w:val="00C442DD"/>
    <w:rsid w:val="00C45EB8"/>
    <w:rsid w:val="00C463D3"/>
    <w:rsid w:val="00C4680D"/>
    <w:rsid w:val="00C468C7"/>
    <w:rsid w:val="00C4732D"/>
    <w:rsid w:val="00C54569"/>
    <w:rsid w:val="00C546F8"/>
    <w:rsid w:val="00C54B15"/>
    <w:rsid w:val="00C556F6"/>
    <w:rsid w:val="00C55903"/>
    <w:rsid w:val="00C57C7E"/>
    <w:rsid w:val="00C60B9F"/>
    <w:rsid w:val="00C6250E"/>
    <w:rsid w:val="00C629BF"/>
    <w:rsid w:val="00C65BDE"/>
    <w:rsid w:val="00C65C40"/>
    <w:rsid w:val="00C700CE"/>
    <w:rsid w:val="00C70D3A"/>
    <w:rsid w:val="00C720D8"/>
    <w:rsid w:val="00C72432"/>
    <w:rsid w:val="00C72CF0"/>
    <w:rsid w:val="00C72D10"/>
    <w:rsid w:val="00C730DC"/>
    <w:rsid w:val="00C74988"/>
    <w:rsid w:val="00C76B28"/>
    <w:rsid w:val="00C76B69"/>
    <w:rsid w:val="00C83149"/>
    <w:rsid w:val="00C8419F"/>
    <w:rsid w:val="00C872D2"/>
    <w:rsid w:val="00C9090B"/>
    <w:rsid w:val="00C90C19"/>
    <w:rsid w:val="00C925E3"/>
    <w:rsid w:val="00C93102"/>
    <w:rsid w:val="00C9351E"/>
    <w:rsid w:val="00C94C36"/>
    <w:rsid w:val="00C957BE"/>
    <w:rsid w:val="00C9599F"/>
    <w:rsid w:val="00C96108"/>
    <w:rsid w:val="00CA2CA9"/>
    <w:rsid w:val="00CA491B"/>
    <w:rsid w:val="00CA4FFD"/>
    <w:rsid w:val="00CA5958"/>
    <w:rsid w:val="00CB4A4C"/>
    <w:rsid w:val="00CB6318"/>
    <w:rsid w:val="00CC2BF0"/>
    <w:rsid w:val="00CC2F3D"/>
    <w:rsid w:val="00CD3BD1"/>
    <w:rsid w:val="00CD44FB"/>
    <w:rsid w:val="00CD51AB"/>
    <w:rsid w:val="00CD5AAB"/>
    <w:rsid w:val="00CD69EE"/>
    <w:rsid w:val="00CD719F"/>
    <w:rsid w:val="00CE153E"/>
    <w:rsid w:val="00CE1B90"/>
    <w:rsid w:val="00CE2530"/>
    <w:rsid w:val="00CE3F24"/>
    <w:rsid w:val="00CE567C"/>
    <w:rsid w:val="00CE5C11"/>
    <w:rsid w:val="00CE5EED"/>
    <w:rsid w:val="00CE74E1"/>
    <w:rsid w:val="00CF21AB"/>
    <w:rsid w:val="00CF3545"/>
    <w:rsid w:val="00CF4389"/>
    <w:rsid w:val="00CF5B75"/>
    <w:rsid w:val="00CF6C5A"/>
    <w:rsid w:val="00D00EE3"/>
    <w:rsid w:val="00D02D2A"/>
    <w:rsid w:val="00D02EBC"/>
    <w:rsid w:val="00D03166"/>
    <w:rsid w:val="00D03A23"/>
    <w:rsid w:val="00D04BE1"/>
    <w:rsid w:val="00D07FAC"/>
    <w:rsid w:val="00D1218F"/>
    <w:rsid w:val="00D16EB3"/>
    <w:rsid w:val="00D21B6E"/>
    <w:rsid w:val="00D23C49"/>
    <w:rsid w:val="00D243A7"/>
    <w:rsid w:val="00D248A4"/>
    <w:rsid w:val="00D24D72"/>
    <w:rsid w:val="00D264C8"/>
    <w:rsid w:val="00D31E99"/>
    <w:rsid w:val="00D34D5E"/>
    <w:rsid w:val="00D36A2F"/>
    <w:rsid w:val="00D378BF"/>
    <w:rsid w:val="00D4429D"/>
    <w:rsid w:val="00D51C86"/>
    <w:rsid w:val="00D553D8"/>
    <w:rsid w:val="00D55B15"/>
    <w:rsid w:val="00D56AD9"/>
    <w:rsid w:val="00D6054B"/>
    <w:rsid w:val="00D63DE0"/>
    <w:rsid w:val="00D63FD4"/>
    <w:rsid w:val="00D671CE"/>
    <w:rsid w:val="00D712EB"/>
    <w:rsid w:val="00D7776C"/>
    <w:rsid w:val="00D86D76"/>
    <w:rsid w:val="00D876B3"/>
    <w:rsid w:val="00D93DB0"/>
    <w:rsid w:val="00D94B37"/>
    <w:rsid w:val="00D9546A"/>
    <w:rsid w:val="00D958DE"/>
    <w:rsid w:val="00D96260"/>
    <w:rsid w:val="00D96E7D"/>
    <w:rsid w:val="00D972E0"/>
    <w:rsid w:val="00DA0C9D"/>
    <w:rsid w:val="00DA1036"/>
    <w:rsid w:val="00DA10A5"/>
    <w:rsid w:val="00DA2317"/>
    <w:rsid w:val="00DA2C90"/>
    <w:rsid w:val="00DA43A4"/>
    <w:rsid w:val="00DA447F"/>
    <w:rsid w:val="00DA5803"/>
    <w:rsid w:val="00DA6460"/>
    <w:rsid w:val="00DA65B7"/>
    <w:rsid w:val="00DA7A00"/>
    <w:rsid w:val="00DB00A5"/>
    <w:rsid w:val="00DB31EA"/>
    <w:rsid w:val="00DB55E9"/>
    <w:rsid w:val="00DB74F1"/>
    <w:rsid w:val="00DB7968"/>
    <w:rsid w:val="00DC09A2"/>
    <w:rsid w:val="00DC1B6B"/>
    <w:rsid w:val="00DC6735"/>
    <w:rsid w:val="00DD0AA6"/>
    <w:rsid w:val="00DD2346"/>
    <w:rsid w:val="00DD4656"/>
    <w:rsid w:val="00DD7184"/>
    <w:rsid w:val="00DE282F"/>
    <w:rsid w:val="00DE37F8"/>
    <w:rsid w:val="00DE6663"/>
    <w:rsid w:val="00DE6C95"/>
    <w:rsid w:val="00DF3008"/>
    <w:rsid w:val="00DF3143"/>
    <w:rsid w:val="00DF37C5"/>
    <w:rsid w:val="00DF41A9"/>
    <w:rsid w:val="00DF4C2D"/>
    <w:rsid w:val="00DF6ECB"/>
    <w:rsid w:val="00E00AA1"/>
    <w:rsid w:val="00E01ABE"/>
    <w:rsid w:val="00E03622"/>
    <w:rsid w:val="00E0389F"/>
    <w:rsid w:val="00E044A1"/>
    <w:rsid w:val="00E130EA"/>
    <w:rsid w:val="00E133B0"/>
    <w:rsid w:val="00E14F3D"/>
    <w:rsid w:val="00E20976"/>
    <w:rsid w:val="00E21E09"/>
    <w:rsid w:val="00E24212"/>
    <w:rsid w:val="00E24449"/>
    <w:rsid w:val="00E24E80"/>
    <w:rsid w:val="00E257BE"/>
    <w:rsid w:val="00E259B1"/>
    <w:rsid w:val="00E2725D"/>
    <w:rsid w:val="00E3054F"/>
    <w:rsid w:val="00E3113B"/>
    <w:rsid w:val="00E31781"/>
    <w:rsid w:val="00E317DA"/>
    <w:rsid w:val="00E31DC9"/>
    <w:rsid w:val="00E33896"/>
    <w:rsid w:val="00E3391F"/>
    <w:rsid w:val="00E401DE"/>
    <w:rsid w:val="00E4500F"/>
    <w:rsid w:val="00E4571A"/>
    <w:rsid w:val="00E4665B"/>
    <w:rsid w:val="00E50798"/>
    <w:rsid w:val="00E545C3"/>
    <w:rsid w:val="00E60464"/>
    <w:rsid w:val="00E61852"/>
    <w:rsid w:val="00E624DF"/>
    <w:rsid w:val="00E6271D"/>
    <w:rsid w:val="00E640A9"/>
    <w:rsid w:val="00E6662B"/>
    <w:rsid w:val="00E66848"/>
    <w:rsid w:val="00E66F13"/>
    <w:rsid w:val="00E66FC8"/>
    <w:rsid w:val="00E67B73"/>
    <w:rsid w:val="00E7075D"/>
    <w:rsid w:val="00E76E42"/>
    <w:rsid w:val="00E81968"/>
    <w:rsid w:val="00E84597"/>
    <w:rsid w:val="00E86A6C"/>
    <w:rsid w:val="00E86D50"/>
    <w:rsid w:val="00E8709B"/>
    <w:rsid w:val="00E94570"/>
    <w:rsid w:val="00E9482D"/>
    <w:rsid w:val="00E94F06"/>
    <w:rsid w:val="00E965EE"/>
    <w:rsid w:val="00EA2110"/>
    <w:rsid w:val="00EA21BD"/>
    <w:rsid w:val="00EA2449"/>
    <w:rsid w:val="00EA7AF7"/>
    <w:rsid w:val="00EA7CDC"/>
    <w:rsid w:val="00EB13EC"/>
    <w:rsid w:val="00EB474F"/>
    <w:rsid w:val="00EB5F1A"/>
    <w:rsid w:val="00EB6332"/>
    <w:rsid w:val="00EB70CA"/>
    <w:rsid w:val="00EB7672"/>
    <w:rsid w:val="00EC0E95"/>
    <w:rsid w:val="00EC17EF"/>
    <w:rsid w:val="00EC252F"/>
    <w:rsid w:val="00EC5854"/>
    <w:rsid w:val="00EC5B49"/>
    <w:rsid w:val="00EC5CED"/>
    <w:rsid w:val="00EC7AAA"/>
    <w:rsid w:val="00ED0234"/>
    <w:rsid w:val="00ED1318"/>
    <w:rsid w:val="00ED1A4F"/>
    <w:rsid w:val="00ED279A"/>
    <w:rsid w:val="00ED314F"/>
    <w:rsid w:val="00ED3211"/>
    <w:rsid w:val="00ED34B1"/>
    <w:rsid w:val="00ED3A42"/>
    <w:rsid w:val="00ED5163"/>
    <w:rsid w:val="00ED5F5B"/>
    <w:rsid w:val="00ED6FB8"/>
    <w:rsid w:val="00EE3407"/>
    <w:rsid w:val="00EE4332"/>
    <w:rsid w:val="00EE4569"/>
    <w:rsid w:val="00EE4BBD"/>
    <w:rsid w:val="00EF0017"/>
    <w:rsid w:val="00EF287C"/>
    <w:rsid w:val="00EF3608"/>
    <w:rsid w:val="00EF57C3"/>
    <w:rsid w:val="00EF58C6"/>
    <w:rsid w:val="00F01F2D"/>
    <w:rsid w:val="00F02EF3"/>
    <w:rsid w:val="00F0439D"/>
    <w:rsid w:val="00F04CE9"/>
    <w:rsid w:val="00F10A72"/>
    <w:rsid w:val="00F13C15"/>
    <w:rsid w:val="00F17C9C"/>
    <w:rsid w:val="00F205BF"/>
    <w:rsid w:val="00F2594C"/>
    <w:rsid w:val="00F25B59"/>
    <w:rsid w:val="00F25E46"/>
    <w:rsid w:val="00F26110"/>
    <w:rsid w:val="00F2642B"/>
    <w:rsid w:val="00F26B4E"/>
    <w:rsid w:val="00F27258"/>
    <w:rsid w:val="00F30945"/>
    <w:rsid w:val="00F30FB8"/>
    <w:rsid w:val="00F31261"/>
    <w:rsid w:val="00F320D0"/>
    <w:rsid w:val="00F3235A"/>
    <w:rsid w:val="00F328BE"/>
    <w:rsid w:val="00F34B10"/>
    <w:rsid w:val="00F40A52"/>
    <w:rsid w:val="00F41AE9"/>
    <w:rsid w:val="00F4270A"/>
    <w:rsid w:val="00F42B11"/>
    <w:rsid w:val="00F43ACD"/>
    <w:rsid w:val="00F44D58"/>
    <w:rsid w:val="00F4502F"/>
    <w:rsid w:val="00F50CD6"/>
    <w:rsid w:val="00F56B1A"/>
    <w:rsid w:val="00F56E42"/>
    <w:rsid w:val="00F57076"/>
    <w:rsid w:val="00F575C9"/>
    <w:rsid w:val="00F57F53"/>
    <w:rsid w:val="00F62168"/>
    <w:rsid w:val="00F62ECF"/>
    <w:rsid w:val="00F6391B"/>
    <w:rsid w:val="00F63C57"/>
    <w:rsid w:val="00F65DFD"/>
    <w:rsid w:val="00F72D67"/>
    <w:rsid w:val="00F75E95"/>
    <w:rsid w:val="00F76362"/>
    <w:rsid w:val="00F779C4"/>
    <w:rsid w:val="00F815CE"/>
    <w:rsid w:val="00F82F3B"/>
    <w:rsid w:val="00F8463B"/>
    <w:rsid w:val="00F8515A"/>
    <w:rsid w:val="00F87FAA"/>
    <w:rsid w:val="00F9234F"/>
    <w:rsid w:val="00F92886"/>
    <w:rsid w:val="00F942D1"/>
    <w:rsid w:val="00F95667"/>
    <w:rsid w:val="00FA1DDF"/>
    <w:rsid w:val="00FA1F31"/>
    <w:rsid w:val="00FA3554"/>
    <w:rsid w:val="00FA604F"/>
    <w:rsid w:val="00FB0FC1"/>
    <w:rsid w:val="00FB18AC"/>
    <w:rsid w:val="00FB2120"/>
    <w:rsid w:val="00FB2F05"/>
    <w:rsid w:val="00FB690A"/>
    <w:rsid w:val="00FC01ED"/>
    <w:rsid w:val="00FC104F"/>
    <w:rsid w:val="00FC27B2"/>
    <w:rsid w:val="00FC36E1"/>
    <w:rsid w:val="00FC3906"/>
    <w:rsid w:val="00FD4A37"/>
    <w:rsid w:val="00FD55FF"/>
    <w:rsid w:val="00FD7F70"/>
    <w:rsid w:val="00FE1044"/>
    <w:rsid w:val="00FE173E"/>
    <w:rsid w:val="00FE22FA"/>
    <w:rsid w:val="00FE263A"/>
    <w:rsid w:val="00FE3C5F"/>
    <w:rsid w:val="00FE4AED"/>
    <w:rsid w:val="00FE60AD"/>
    <w:rsid w:val="00FE6E95"/>
    <w:rsid w:val="00FF5E5D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970B23"/>
  <w15:docId w15:val="{EECA8ABD-91FA-4DE4-AFE2-07C64678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60" w:line="276" w:lineRule="auto"/>
        <w:ind w:left="227" w:hanging="22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99"/>
    <w:qFormat/>
    <w:locked/>
    <w:rsid w:val="00DA5803"/>
    <w:rPr>
      <w:sz w:val="24"/>
      <w:szCs w:val="24"/>
    </w:rPr>
  </w:style>
  <w:style w:type="character" w:customStyle="1" w:styleId="cf01">
    <w:name w:val="cf01"/>
    <w:basedOn w:val="Domylnaczcionkaakapitu"/>
    <w:rsid w:val="006008C3"/>
    <w:rPr>
      <w:rFonts w:ascii="Segoe UI" w:hAnsi="Segoe UI" w:cs="Segoe UI" w:hint="default"/>
      <w:b/>
      <w:bCs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1ee89e71-04cd-405e-9ca3-99e020c1694d" ContentTypeId="0x0101" PreviousValue="false"/>
</file>

<file path=customXml/item5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customXml/itemProps3.xml><?xml version="1.0" encoding="utf-8"?>
<ds:datastoreItem xmlns:ds="http://schemas.openxmlformats.org/officeDocument/2006/customXml" ds:itemID="{5C3350A5-95DA-4644-9256-7FD6F76FA7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5151</Words>
  <Characters>36505</Characters>
  <Application>Microsoft Office Word</Application>
  <DocSecurity>0</DocSecurity>
  <Lines>304</Lines>
  <Paragraphs>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Majcherek, Dawid</dc:creator>
  <cp:keywords/>
  <cp:lastModifiedBy>Wilk Justyna</cp:lastModifiedBy>
  <cp:revision>5</cp:revision>
  <cp:lastPrinted>2024-01-24T10:31:00Z</cp:lastPrinted>
  <dcterms:created xsi:type="dcterms:W3CDTF">2024-12-05T17:35:00Z</dcterms:created>
  <dcterms:modified xsi:type="dcterms:W3CDTF">2024-12-12T08:28:00Z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